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napToGrid w:val="0"/>
        <w:spacing w:line="240" w:lineRule="auto"/>
        <w:textAlignment w:val="auto"/>
        <w:rPr>
          <w:rFonts w:hint="eastAsia" w:ascii="仿宋" w:hAnsi="仿宋" w:eastAsia="仿宋" w:cs="仿宋"/>
          <w:b w:val="0"/>
          <w:bCs/>
          <w:color w:val="000000"/>
          <w:sz w:val="32"/>
          <w:szCs w:val="32"/>
        </w:rPr>
      </w:pPr>
    </w:p>
    <w:p>
      <w:pPr>
        <w:wordWrap/>
        <w:snapToGrid w:val="0"/>
        <w:spacing w:line="240" w:lineRule="auto"/>
        <w:jc w:val="center"/>
        <w:textAlignment w:val="auto"/>
        <w:outlineLvl w:val="0"/>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江华瑶族自治县委员会统一战线工作部</w:t>
      </w:r>
    </w:p>
    <w:p>
      <w:pPr>
        <w:wordWrap/>
        <w:snapToGrid w:val="0"/>
        <w:spacing w:line="240" w:lineRule="auto"/>
        <w:ind w:firstLine="1800" w:firstLineChars="500"/>
        <w:jc w:val="both"/>
        <w:textAlignment w:val="auto"/>
        <w:outlineLvl w:val="0"/>
        <w:rPr>
          <w:rFonts w:hint="eastAsia" w:ascii="黑体" w:hAnsi="黑体" w:eastAsia="黑体" w:cs="黑体"/>
          <w:b w:val="0"/>
          <w:bCs/>
          <w:sz w:val="36"/>
          <w:szCs w:val="36"/>
        </w:rPr>
      </w:pPr>
      <w:r>
        <w:rPr>
          <w:rFonts w:hint="eastAsia" w:ascii="黑体" w:hAnsi="黑体" w:eastAsia="黑体" w:cs="黑体"/>
          <w:b w:val="0"/>
          <w:bCs/>
          <w:sz w:val="36"/>
          <w:szCs w:val="36"/>
          <w:lang w:eastAsia="zh-CN"/>
        </w:rPr>
        <w:t>2021年</w:t>
      </w:r>
      <w:r>
        <w:rPr>
          <w:rFonts w:hint="eastAsia" w:ascii="黑体" w:hAnsi="黑体" w:eastAsia="黑体" w:cs="黑体"/>
          <w:b w:val="0"/>
          <w:bCs/>
          <w:sz w:val="36"/>
          <w:szCs w:val="36"/>
        </w:rPr>
        <w:t>度</w:t>
      </w:r>
      <w:r>
        <w:rPr>
          <w:rFonts w:hint="eastAsia" w:ascii="黑体" w:hAnsi="黑体" w:eastAsia="黑体" w:cs="黑体"/>
          <w:b w:val="0"/>
          <w:bCs/>
          <w:sz w:val="36"/>
          <w:szCs w:val="36"/>
          <w:lang w:val="en-US" w:eastAsia="zh-CN"/>
        </w:rPr>
        <w:t>部门</w:t>
      </w:r>
      <w:r>
        <w:rPr>
          <w:rFonts w:hint="eastAsia" w:ascii="黑体" w:hAnsi="黑体" w:eastAsia="黑体" w:cs="黑体"/>
          <w:b w:val="0"/>
          <w:bCs/>
          <w:sz w:val="36"/>
          <w:szCs w:val="36"/>
        </w:rPr>
        <w:t>整体绩效评价报告</w:t>
      </w:r>
    </w:p>
    <w:p>
      <w:pPr>
        <w:jc w:val="left"/>
        <w:rPr>
          <w:rFonts w:hint="eastAsia" w:ascii="仿宋" w:hAnsi="仿宋" w:eastAsia="仿宋" w:cs="仿宋"/>
          <w:b w:val="0"/>
          <w:bCs/>
          <w:sz w:val="32"/>
          <w:szCs w:val="32"/>
          <w:lang w:val="en-US" w:eastAsia="zh-CN"/>
        </w:rPr>
      </w:pPr>
      <w:bookmarkStart w:id="0" w:name="_GoBack"/>
      <w:bookmarkEnd w:id="0"/>
    </w:p>
    <w:p>
      <w:pPr>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根据《《中华人民共和国预算法》、中共湖南省委办公厅 湖南省人民政府办公厅《关于全面实施预算绩效管理的实施意见》（湘办发[</w:t>
      </w:r>
      <w:r>
        <w:rPr>
          <w:rFonts w:hint="eastAsia" w:ascii="仿宋" w:hAnsi="仿宋" w:eastAsia="仿宋" w:cs="仿宋"/>
          <w:b w:val="0"/>
          <w:bCs/>
          <w:sz w:val="32"/>
          <w:szCs w:val="32"/>
          <w:lang w:eastAsia="zh-CN"/>
        </w:rPr>
        <w:t>20</w:t>
      </w:r>
      <w:r>
        <w:rPr>
          <w:rFonts w:hint="eastAsia" w:ascii="仿宋" w:hAnsi="仿宋" w:eastAsia="仿宋" w:cs="仿宋"/>
          <w:b w:val="0"/>
          <w:bCs/>
          <w:sz w:val="32"/>
          <w:szCs w:val="32"/>
          <w:lang w:val="en-US" w:eastAsia="zh-CN"/>
        </w:rPr>
        <w:t>19</w:t>
      </w: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号）</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江华瑶族自治县财政局</w:t>
      </w:r>
      <w:r>
        <w:rPr>
          <w:rFonts w:hint="eastAsia" w:ascii="仿宋" w:hAnsi="仿宋" w:eastAsia="仿宋" w:cs="仿宋"/>
          <w:b w:val="0"/>
          <w:bCs/>
          <w:sz w:val="32"/>
          <w:szCs w:val="32"/>
        </w:rPr>
        <w:t>关于</w:t>
      </w:r>
      <w:r>
        <w:rPr>
          <w:rFonts w:hint="eastAsia" w:ascii="仿宋" w:hAnsi="仿宋" w:eastAsia="仿宋" w:cs="仿宋"/>
          <w:b w:val="0"/>
          <w:bCs/>
          <w:sz w:val="32"/>
          <w:szCs w:val="32"/>
          <w:lang w:val="en-US" w:eastAsia="zh-CN"/>
        </w:rPr>
        <w:t>开展</w:t>
      </w:r>
      <w:r>
        <w:rPr>
          <w:rFonts w:hint="eastAsia" w:ascii="仿宋" w:hAnsi="仿宋" w:eastAsia="仿宋" w:cs="仿宋"/>
          <w:b w:val="0"/>
          <w:bCs/>
          <w:sz w:val="32"/>
          <w:szCs w:val="32"/>
          <w:lang w:eastAsia="zh-CN"/>
        </w:rPr>
        <w:t>2021年</w:t>
      </w:r>
      <w:r>
        <w:rPr>
          <w:rFonts w:hint="eastAsia" w:ascii="仿宋" w:hAnsi="仿宋" w:eastAsia="仿宋" w:cs="仿宋"/>
          <w:b w:val="0"/>
          <w:bCs/>
          <w:sz w:val="32"/>
          <w:szCs w:val="32"/>
        </w:rPr>
        <w:t>度</w:t>
      </w:r>
      <w:r>
        <w:rPr>
          <w:rFonts w:hint="eastAsia" w:ascii="仿宋" w:hAnsi="仿宋" w:eastAsia="仿宋" w:cs="仿宋"/>
          <w:b w:val="0"/>
          <w:bCs/>
          <w:sz w:val="32"/>
          <w:szCs w:val="32"/>
          <w:lang w:val="en-US" w:eastAsia="zh-CN"/>
        </w:rPr>
        <w:t>财政</w:t>
      </w:r>
      <w:r>
        <w:rPr>
          <w:rFonts w:hint="eastAsia" w:ascii="仿宋" w:hAnsi="仿宋" w:eastAsia="仿宋" w:cs="仿宋"/>
          <w:b w:val="0"/>
          <w:bCs/>
          <w:sz w:val="32"/>
          <w:szCs w:val="32"/>
        </w:rPr>
        <w:t>支出绩效</w:t>
      </w:r>
      <w:r>
        <w:rPr>
          <w:rFonts w:hint="eastAsia" w:ascii="仿宋" w:hAnsi="仿宋" w:eastAsia="仿宋" w:cs="仿宋"/>
          <w:b w:val="0"/>
          <w:bCs/>
          <w:sz w:val="32"/>
          <w:szCs w:val="32"/>
          <w:lang w:eastAsia="zh-CN"/>
        </w:rPr>
        <w:t>自评</w:t>
      </w:r>
      <w:r>
        <w:rPr>
          <w:rFonts w:hint="eastAsia" w:ascii="仿宋" w:hAnsi="仿宋" w:eastAsia="仿宋" w:cs="仿宋"/>
          <w:b w:val="0"/>
          <w:bCs/>
          <w:sz w:val="32"/>
          <w:szCs w:val="32"/>
        </w:rPr>
        <w:t>工作的通知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江财绩[2022]2号</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精神</w:t>
      </w:r>
      <w:r>
        <w:rPr>
          <w:rFonts w:hint="eastAsia" w:ascii="仿宋" w:hAnsi="仿宋" w:eastAsia="仿宋" w:cs="仿宋"/>
          <w:b w:val="0"/>
          <w:bCs/>
          <w:sz w:val="32"/>
          <w:szCs w:val="32"/>
        </w:rPr>
        <w:t>，我单位领导高度重视，认真组织，对</w:t>
      </w:r>
      <w:r>
        <w:rPr>
          <w:rFonts w:hint="eastAsia" w:ascii="仿宋" w:hAnsi="仿宋" w:eastAsia="仿宋" w:cs="仿宋"/>
          <w:b w:val="0"/>
          <w:bCs/>
          <w:sz w:val="32"/>
          <w:szCs w:val="32"/>
          <w:lang w:eastAsia="zh-CN"/>
        </w:rPr>
        <w:t>2021年</w:t>
      </w:r>
      <w:r>
        <w:rPr>
          <w:rFonts w:hint="eastAsia" w:ascii="仿宋" w:hAnsi="仿宋" w:eastAsia="仿宋" w:cs="仿宋"/>
          <w:b w:val="0"/>
          <w:bCs/>
          <w:sz w:val="32"/>
          <w:szCs w:val="32"/>
        </w:rPr>
        <w:t>部门整体支出进行了绩效</w:t>
      </w:r>
      <w:r>
        <w:rPr>
          <w:rFonts w:hint="eastAsia" w:ascii="仿宋" w:hAnsi="仿宋" w:eastAsia="仿宋" w:cs="仿宋"/>
          <w:b w:val="0"/>
          <w:bCs/>
          <w:sz w:val="32"/>
          <w:szCs w:val="32"/>
          <w:lang w:val="en-US" w:eastAsia="zh-CN"/>
        </w:rPr>
        <w:t>自评</w:t>
      </w:r>
      <w:r>
        <w:rPr>
          <w:rFonts w:hint="eastAsia" w:ascii="仿宋" w:hAnsi="仿宋" w:eastAsia="仿宋" w:cs="仿宋"/>
          <w:b w:val="0"/>
          <w:bCs/>
          <w:sz w:val="32"/>
          <w:szCs w:val="32"/>
        </w:rPr>
        <w:t>，现将我单位部门整体支出绩效</w:t>
      </w:r>
      <w:r>
        <w:rPr>
          <w:rFonts w:hint="eastAsia" w:ascii="仿宋" w:hAnsi="仿宋" w:eastAsia="仿宋" w:cs="仿宋"/>
          <w:b w:val="0"/>
          <w:bCs/>
          <w:sz w:val="32"/>
          <w:szCs w:val="32"/>
          <w:lang w:val="en-US" w:eastAsia="zh-CN"/>
        </w:rPr>
        <w:t>自评</w:t>
      </w:r>
      <w:r>
        <w:rPr>
          <w:rFonts w:hint="eastAsia" w:ascii="仿宋" w:hAnsi="仿宋" w:eastAsia="仿宋" w:cs="仿宋"/>
          <w:b w:val="0"/>
          <w:bCs/>
          <w:sz w:val="32"/>
          <w:szCs w:val="32"/>
        </w:rPr>
        <w:t>情况报告如下：           </w:t>
      </w:r>
    </w:p>
    <w:p>
      <w:pPr>
        <w:wordWrap/>
        <w:snapToGrid w:val="0"/>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一、部门概况</w:t>
      </w:r>
    </w:p>
    <w:p>
      <w:pPr>
        <w:wordWrap/>
        <w:snapToGrid w:val="0"/>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部门基本情况</w:t>
      </w:r>
    </w:p>
    <w:p>
      <w:pPr>
        <w:wordWrap/>
        <w:snapToGrid w:val="0"/>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江华瑶族自治县委统战部下设5个内设机构：办公室（侨务工作室）、干部室、民族宗教室（政策法规室）、研究和宣传信息室、非公有制经济和港澳台统战工作室（无党派人士、党外知识分子和新的社会阶层人士工作室）。主要负责党外人士的政治安排和担任政府、司法机关及其他单位领导职务的党外人士的培养、选拔、考察、推荐等；负责协调检查民族工作落实情况；负责贯彻执行统一战线理论、方针、政策的综合性研究，组织、协调、指导统一战线部门的调研活动。负责参与制定、推动落实鼓励支持引导非公有制经济发展的方针政策，了解贯彻落实情况并提出工作建议。</w:t>
      </w:r>
    </w:p>
    <w:p>
      <w:pPr>
        <w:wordWrap/>
        <w:snapToGrid w:val="0"/>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人员情况</w:t>
      </w:r>
    </w:p>
    <w:p>
      <w:pPr>
        <w:keepNext w:val="0"/>
        <w:keepLines w:val="0"/>
        <w:pageBreakBefore w:val="0"/>
        <w:kinsoku/>
        <w:wordWrap/>
        <w:overflowPunct/>
        <w:topLinePunct w:val="0"/>
        <w:autoSpaceDE/>
        <w:bidi w:val="0"/>
        <w:adjustRightInd w:val="0"/>
        <w:snapToGrid w:val="0"/>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中共江华瑶族自治县委统战部是县财政全额拨款的正科级行政单位，编制</w:t>
      </w:r>
      <w:r>
        <w:rPr>
          <w:rFonts w:ascii="仿宋" w:hAnsi="仿宋" w:eastAsia="仿宋" w:cs="仿宋"/>
          <w:sz w:val="32"/>
          <w:szCs w:val="32"/>
        </w:rPr>
        <w:t>7</w:t>
      </w:r>
      <w:r>
        <w:rPr>
          <w:rFonts w:hint="eastAsia" w:ascii="仿宋" w:hAnsi="仿宋" w:eastAsia="仿宋" w:cs="仿宋"/>
          <w:sz w:val="32"/>
          <w:szCs w:val="32"/>
        </w:rPr>
        <w:t>人，其中行政编制</w:t>
      </w:r>
      <w:r>
        <w:rPr>
          <w:rFonts w:ascii="仿宋" w:hAnsi="仿宋" w:eastAsia="仿宋" w:cs="仿宋"/>
          <w:sz w:val="32"/>
          <w:szCs w:val="32"/>
        </w:rPr>
        <w:t>6</w:t>
      </w:r>
      <w:r>
        <w:rPr>
          <w:rFonts w:hint="eastAsia" w:ascii="仿宋" w:hAnsi="仿宋" w:eastAsia="仿宋" w:cs="仿宋"/>
          <w:sz w:val="32"/>
          <w:szCs w:val="32"/>
        </w:rPr>
        <w:t>人，工勤编制1人。下辖一个股级事业单位</w:t>
      </w:r>
      <w:r>
        <w:rPr>
          <w:rFonts w:hint="eastAsia" w:ascii="仿宋" w:hAnsi="仿宋" w:eastAsia="仿宋" w:cs="仿宋"/>
          <w:sz w:val="32"/>
          <w:szCs w:val="32"/>
          <w:lang w:val="en-US" w:eastAsia="zh-CN"/>
        </w:rPr>
        <w:t>县宗教事务中心</w:t>
      </w:r>
      <w:r>
        <w:rPr>
          <w:rFonts w:hint="eastAsia" w:ascii="仿宋" w:hAnsi="仿宋" w:eastAsia="仿宋" w:cs="仿宋"/>
          <w:sz w:val="32"/>
          <w:szCs w:val="32"/>
        </w:rPr>
        <w:t>，事业编制</w:t>
      </w:r>
      <w:r>
        <w:rPr>
          <w:rFonts w:hint="eastAsia" w:ascii="仿宋" w:hAnsi="仿宋" w:eastAsia="仿宋" w:cs="仿宋"/>
          <w:sz w:val="32"/>
          <w:szCs w:val="32"/>
          <w:lang w:val="en-US" w:eastAsia="zh-CN"/>
        </w:rPr>
        <w:t>5</w:t>
      </w:r>
      <w:r>
        <w:rPr>
          <w:rFonts w:hint="eastAsia" w:ascii="仿宋" w:hAnsi="仿宋" w:eastAsia="仿宋" w:cs="仿宋"/>
          <w:sz w:val="32"/>
          <w:szCs w:val="32"/>
        </w:rPr>
        <w:t>人。现实有在职人员</w:t>
      </w:r>
      <w:r>
        <w:rPr>
          <w:rFonts w:hint="eastAsia" w:ascii="仿宋" w:hAnsi="仿宋" w:eastAsia="仿宋" w:cs="仿宋"/>
          <w:sz w:val="32"/>
          <w:szCs w:val="32"/>
          <w:lang w:val="en-US" w:eastAsia="zh-CN"/>
        </w:rPr>
        <w:t>7</w:t>
      </w:r>
      <w:r>
        <w:rPr>
          <w:rFonts w:hint="eastAsia" w:ascii="仿宋" w:hAnsi="仿宋" w:eastAsia="仿宋" w:cs="仿宋"/>
          <w:sz w:val="32"/>
          <w:szCs w:val="32"/>
        </w:rPr>
        <w:t>人，退休人员</w:t>
      </w:r>
      <w:r>
        <w:rPr>
          <w:rFonts w:ascii="仿宋" w:hAnsi="仿宋" w:eastAsia="仿宋" w:cs="仿宋"/>
          <w:sz w:val="32"/>
          <w:szCs w:val="32"/>
        </w:rPr>
        <w:t>2</w:t>
      </w:r>
      <w:r>
        <w:rPr>
          <w:rFonts w:hint="eastAsia" w:ascii="仿宋" w:hAnsi="仿宋" w:eastAsia="仿宋" w:cs="仿宋"/>
          <w:sz w:val="32"/>
          <w:szCs w:val="32"/>
        </w:rPr>
        <w:t>人。</w:t>
      </w:r>
    </w:p>
    <w:p>
      <w:pPr>
        <w:wordWrap/>
        <w:snapToGrid w:val="0"/>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二、部门整体收支结余情况</w:t>
      </w:r>
    </w:p>
    <w:p>
      <w:pPr>
        <w:wordWrap/>
        <w:snapToGrid w:val="0"/>
        <w:spacing w:line="240" w:lineRule="auto"/>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我单位2021年</w:t>
      </w:r>
      <w:r>
        <w:rPr>
          <w:rFonts w:hint="eastAsia" w:ascii="仿宋" w:hAnsi="仿宋" w:eastAsia="仿宋" w:cs="仿宋"/>
          <w:b w:val="0"/>
          <w:bCs/>
          <w:sz w:val="32"/>
          <w:szCs w:val="32"/>
        </w:rPr>
        <w:t>收到财政资金</w:t>
      </w:r>
      <w:r>
        <w:rPr>
          <w:rFonts w:hint="eastAsia" w:ascii="仿宋" w:hAnsi="仿宋" w:eastAsia="仿宋" w:cs="仿宋"/>
          <w:b w:val="0"/>
          <w:bCs/>
          <w:sz w:val="32"/>
          <w:szCs w:val="32"/>
          <w:lang w:val="en-US" w:eastAsia="zh-CN"/>
        </w:rPr>
        <w:t>175.8万</w:t>
      </w:r>
      <w:r>
        <w:rPr>
          <w:rFonts w:hint="eastAsia" w:ascii="仿宋" w:hAnsi="仿宋" w:eastAsia="仿宋" w:cs="仿宋"/>
          <w:b w:val="0"/>
          <w:bCs/>
          <w:sz w:val="32"/>
          <w:szCs w:val="32"/>
          <w:lang w:eastAsia="zh-CN"/>
        </w:rPr>
        <w:t>元，年初结转结余</w:t>
      </w:r>
      <w:r>
        <w:rPr>
          <w:rFonts w:hint="eastAsia" w:ascii="仿宋" w:hAnsi="仿宋" w:eastAsia="仿宋" w:cs="仿宋"/>
          <w:b w:val="0"/>
          <w:bCs/>
          <w:sz w:val="32"/>
          <w:szCs w:val="32"/>
          <w:lang w:val="en-US" w:eastAsia="zh-CN"/>
        </w:rPr>
        <w:t>0 元</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合计</w:t>
      </w:r>
      <w:r>
        <w:rPr>
          <w:rFonts w:hint="eastAsia" w:ascii="仿宋" w:hAnsi="仿宋" w:eastAsia="仿宋" w:cs="仿宋"/>
          <w:b w:val="0"/>
          <w:bCs/>
          <w:sz w:val="32"/>
          <w:szCs w:val="32"/>
          <w:lang w:val="en-US" w:eastAsia="zh-CN"/>
        </w:rPr>
        <w:t>175.8万 元。</w:t>
      </w:r>
      <w:r>
        <w:rPr>
          <w:rFonts w:hint="eastAsia" w:ascii="仿宋" w:hAnsi="仿宋" w:eastAsia="仿宋" w:cs="仿宋"/>
          <w:b w:val="0"/>
          <w:bCs/>
          <w:sz w:val="32"/>
          <w:szCs w:val="32"/>
        </w:rPr>
        <w:t>其中</w:t>
      </w:r>
      <w:r>
        <w:rPr>
          <w:rFonts w:hint="eastAsia" w:ascii="仿宋" w:hAnsi="仿宋" w:eastAsia="仿宋" w:cs="仿宋"/>
          <w:b w:val="0"/>
          <w:bCs/>
          <w:sz w:val="32"/>
          <w:szCs w:val="32"/>
          <w:lang w:eastAsia="zh-CN"/>
        </w:rPr>
        <w:t>基本支出</w:t>
      </w:r>
      <w:r>
        <w:rPr>
          <w:rFonts w:hint="eastAsia" w:ascii="仿宋" w:hAnsi="仿宋" w:eastAsia="仿宋" w:cs="仿宋"/>
          <w:b w:val="0"/>
          <w:bCs/>
          <w:sz w:val="32"/>
          <w:szCs w:val="32"/>
          <w:lang w:val="en-US" w:eastAsia="zh-CN"/>
        </w:rPr>
        <w:t xml:space="preserve">137.42万 </w:t>
      </w:r>
      <w:r>
        <w:rPr>
          <w:rFonts w:hint="eastAsia" w:ascii="仿宋" w:hAnsi="仿宋" w:eastAsia="仿宋" w:cs="仿宋"/>
          <w:b w:val="0"/>
          <w:bCs/>
          <w:sz w:val="32"/>
          <w:szCs w:val="32"/>
          <w:lang w:eastAsia="zh-CN"/>
        </w:rPr>
        <w:t>元</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项目支出</w:t>
      </w:r>
      <w:r>
        <w:rPr>
          <w:rFonts w:hint="eastAsia" w:ascii="仿宋" w:hAnsi="仿宋" w:eastAsia="仿宋" w:cs="仿宋"/>
          <w:b w:val="0"/>
          <w:bCs/>
          <w:sz w:val="32"/>
          <w:szCs w:val="32"/>
          <w:lang w:val="en-US" w:eastAsia="zh-CN"/>
        </w:rPr>
        <w:t xml:space="preserve">38.38万 </w:t>
      </w:r>
      <w:r>
        <w:rPr>
          <w:rFonts w:hint="eastAsia" w:ascii="仿宋" w:hAnsi="仿宋" w:eastAsia="仿宋" w:cs="仿宋"/>
          <w:b w:val="0"/>
          <w:bCs/>
          <w:sz w:val="32"/>
          <w:szCs w:val="32"/>
          <w:lang w:eastAsia="zh-CN"/>
        </w:rPr>
        <w:t>元</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2021年</w:t>
      </w:r>
      <w:r>
        <w:rPr>
          <w:rFonts w:hint="eastAsia" w:ascii="仿宋" w:hAnsi="仿宋" w:eastAsia="仿宋" w:cs="仿宋"/>
          <w:b w:val="0"/>
          <w:bCs/>
          <w:sz w:val="32"/>
          <w:szCs w:val="32"/>
        </w:rPr>
        <w:t>全年</w:t>
      </w:r>
      <w:r>
        <w:rPr>
          <w:rFonts w:hint="eastAsia" w:ascii="仿宋" w:hAnsi="仿宋" w:eastAsia="仿宋" w:cs="仿宋"/>
          <w:b w:val="0"/>
          <w:bCs/>
          <w:sz w:val="32"/>
          <w:szCs w:val="32"/>
          <w:lang w:eastAsia="zh-CN"/>
        </w:rPr>
        <w:t>实际</w:t>
      </w:r>
      <w:r>
        <w:rPr>
          <w:rFonts w:hint="eastAsia" w:ascii="仿宋" w:hAnsi="仿宋" w:eastAsia="仿宋" w:cs="仿宋"/>
          <w:b w:val="0"/>
          <w:bCs/>
          <w:sz w:val="32"/>
          <w:szCs w:val="32"/>
        </w:rPr>
        <w:t>支出</w:t>
      </w:r>
      <w:r>
        <w:rPr>
          <w:rFonts w:hint="eastAsia" w:ascii="仿宋" w:hAnsi="仿宋" w:eastAsia="仿宋" w:cs="仿宋"/>
          <w:b w:val="0"/>
          <w:bCs/>
          <w:sz w:val="32"/>
          <w:szCs w:val="32"/>
          <w:lang w:val="en-US" w:eastAsia="zh-CN"/>
        </w:rPr>
        <w:t xml:space="preserve">175.8万 </w:t>
      </w:r>
      <w:r>
        <w:rPr>
          <w:rFonts w:hint="eastAsia" w:ascii="仿宋" w:hAnsi="仿宋" w:eastAsia="仿宋" w:cs="仿宋"/>
          <w:b w:val="0"/>
          <w:bCs/>
          <w:sz w:val="32"/>
          <w:szCs w:val="32"/>
          <w:lang w:eastAsia="zh-CN"/>
        </w:rPr>
        <w:t>元</w:t>
      </w:r>
      <w:r>
        <w:rPr>
          <w:rFonts w:hint="eastAsia" w:ascii="仿宋" w:hAnsi="仿宋" w:eastAsia="仿宋" w:cs="仿宋"/>
          <w:b w:val="0"/>
          <w:bCs/>
          <w:sz w:val="32"/>
          <w:szCs w:val="32"/>
        </w:rPr>
        <w:t>；结余财政资金</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lang w:eastAsia="zh-CN"/>
        </w:rPr>
        <w:t>元</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基本支出结余</w:t>
      </w:r>
      <w:r>
        <w:rPr>
          <w:rFonts w:hint="eastAsia" w:ascii="仿宋" w:hAnsi="仿宋" w:eastAsia="仿宋" w:cs="仿宋"/>
          <w:b w:val="0"/>
          <w:bCs/>
          <w:sz w:val="32"/>
          <w:szCs w:val="32"/>
          <w:lang w:val="en-US" w:eastAsia="zh-CN"/>
        </w:rPr>
        <w:t xml:space="preserve"> 0元，项目支出结余0 元.</w:t>
      </w:r>
    </w:p>
    <w:p>
      <w:pPr>
        <w:wordWrap/>
        <w:snapToGrid w:val="0"/>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三、预算执行与管理情况</w:t>
      </w:r>
    </w:p>
    <w:p>
      <w:pPr>
        <w:pStyle w:val="6"/>
        <w:widowControl/>
        <w:pBdr>
          <w:top w:val="none" w:color="auto" w:sz="0" w:space="0"/>
          <w:left w:val="none" w:color="auto" w:sz="0" w:space="0"/>
          <w:bottom w:val="none" w:color="auto" w:sz="0" w:space="0"/>
          <w:right w:val="none" w:color="auto" w:sz="0" w:space="0"/>
        </w:pBdr>
        <w:shd w:val="clear" w:color="070000" w:fill="FFFFFF"/>
        <w:wordWrap/>
        <w:snapToGrid w:val="0"/>
        <w:spacing w:before="0" w:beforeAutospacing="0" w:after="0" w:afterAutospacing="0" w:line="240" w:lineRule="auto"/>
        <w:ind w:right="0"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2021年，我单位积极履职，强化管理，较好地完成了年度工作目标。根据部门整体支出绩效评价指标体系，我单位2021年度评价得分为99 分。部门整体支出绩效情况如下：</w:t>
      </w:r>
    </w:p>
    <w:p>
      <w:pPr>
        <w:pStyle w:val="6"/>
        <w:widowControl/>
        <w:pBdr>
          <w:top w:val="none" w:color="auto" w:sz="0" w:space="0"/>
          <w:left w:val="none" w:color="auto" w:sz="0" w:space="0"/>
          <w:bottom w:val="none" w:color="auto" w:sz="0" w:space="0"/>
          <w:right w:val="none" w:color="auto" w:sz="0" w:space="0"/>
        </w:pBdr>
        <w:shd w:val="clear" w:color="070000" w:fill="FFFFFF"/>
        <w:wordWrap/>
        <w:snapToGrid w:val="0"/>
        <w:spacing w:before="0" w:beforeAutospacing="0" w:after="0" w:afterAutospacing="0" w:line="240" w:lineRule="auto"/>
        <w:ind w:right="0"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1、投入10 分</w:t>
      </w:r>
    </w:p>
    <w:p>
      <w:pPr>
        <w:pStyle w:val="6"/>
        <w:widowControl/>
        <w:numPr>
          <w:ilvl w:val="0"/>
          <w:numId w:val="0"/>
        </w:numPr>
        <w:pBdr>
          <w:top w:val="none" w:color="auto" w:sz="0" w:space="0"/>
          <w:left w:val="none" w:color="auto" w:sz="0" w:space="0"/>
          <w:bottom w:val="none" w:color="auto" w:sz="0" w:space="0"/>
          <w:right w:val="none" w:color="auto" w:sz="0" w:space="0"/>
        </w:pBdr>
        <w:shd w:val="clear" w:color="080000" w:fill="FFFFFF"/>
        <w:wordWrap/>
        <w:snapToGrid w:val="0"/>
        <w:spacing w:before="0" w:beforeAutospacing="0" w:after="0" w:afterAutospacing="0" w:line="240" w:lineRule="auto"/>
        <w:ind w:right="0"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预算配置得10 分。其中：在职人员控制率：在职 7人/编制12 人*100%=58 %，得5  分；“三公”经费预算数无变动，变动率等于0，得5 分。</w:t>
      </w:r>
    </w:p>
    <w:p>
      <w:pPr>
        <w:pStyle w:val="6"/>
        <w:widowControl/>
        <w:numPr>
          <w:ilvl w:val="0"/>
          <w:numId w:val="0"/>
        </w:numPr>
        <w:pBdr>
          <w:top w:val="none" w:color="auto" w:sz="0" w:space="0"/>
          <w:left w:val="none" w:color="auto" w:sz="0" w:space="0"/>
          <w:bottom w:val="none" w:color="auto" w:sz="0" w:space="0"/>
          <w:right w:val="none" w:color="auto" w:sz="0" w:space="0"/>
        </w:pBdr>
        <w:shd w:val="clear" w:color="080000" w:fill="FFFFFF"/>
        <w:wordWrap/>
        <w:snapToGrid w:val="0"/>
        <w:spacing w:before="0" w:beforeAutospacing="0" w:after="0" w:afterAutospacing="0" w:line="240" w:lineRule="auto"/>
        <w:ind w:right="0"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2、过程49  分</w:t>
      </w:r>
    </w:p>
    <w:p>
      <w:pPr>
        <w:wordWrap/>
        <w:snapToGrid w:val="0"/>
        <w:spacing w:line="240" w:lineRule="auto"/>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（1）预算执行得19 分。预算完成率100%得5分；预算控制率得4分；无新建楼堂馆所得10分。</w:t>
      </w:r>
    </w:p>
    <w:p>
      <w:pPr>
        <w:wordWrap/>
        <w:snapToGrid w:val="0"/>
        <w:spacing w:line="240" w:lineRule="auto"/>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（2）预算管理得30 分。政府采购执行率 20 万元/20万元＝100 %，得 6分；管理制度健全有相关财务管理制度等得 8分；资金使用符合规定得6 分；预决算信息公开按规定内容在规定时限在县政府门户网站公开，基础信息完善，得10 分。</w:t>
      </w:r>
    </w:p>
    <w:p>
      <w:pPr>
        <w:pStyle w:val="6"/>
        <w:widowControl/>
        <w:numPr>
          <w:ilvl w:val="0"/>
          <w:numId w:val="0"/>
        </w:numPr>
        <w:pBdr>
          <w:top w:val="none" w:color="auto" w:sz="0" w:space="0"/>
          <w:left w:val="none" w:color="auto" w:sz="0" w:space="0"/>
          <w:bottom w:val="none" w:color="auto" w:sz="0" w:space="0"/>
          <w:right w:val="none" w:color="auto" w:sz="0" w:space="0"/>
        </w:pBdr>
        <w:shd w:val="clear" w:color="080000" w:fill="FFFFFF"/>
        <w:wordWrap/>
        <w:snapToGrid w:val="0"/>
        <w:spacing w:before="0" w:beforeAutospacing="0" w:after="0" w:afterAutospacing="0" w:line="240" w:lineRule="auto"/>
        <w:ind w:leftChars="0" w:right="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b w:val="0"/>
          <w:bCs/>
          <w:kern w:val="0"/>
          <w:sz w:val="32"/>
          <w:szCs w:val="32"/>
          <w:lang w:val="en-US" w:eastAsia="zh-CN" w:bidi="ar-SA"/>
        </w:rPr>
        <w:t>3、</w:t>
      </w:r>
      <w:r>
        <w:rPr>
          <w:rFonts w:hint="eastAsia" w:ascii="仿宋" w:hAnsi="仿宋" w:eastAsia="仿宋" w:cs="仿宋"/>
          <w:kern w:val="0"/>
          <w:sz w:val="32"/>
          <w:szCs w:val="32"/>
          <w:lang w:val="en-US" w:eastAsia="zh-CN" w:bidi="ar-SA"/>
        </w:rPr>
        <w:t>履职效益得40分。</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（1）产出指标内容：</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both"/>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数量指标：</w:t>
      </w:r>
      <w:r>
        <w:rPr>
          <w:rFonts w:hint="eastAsia" w:ascii="仿宋" w:hAnsi="仿宋" w:eastAsia="仿宋" w:cs="仿宋"/>
          <w:kern w:val="0"/>
          <w:sz w:val="32"/>
          <w:szCs w:val="32"/>
          <w:lang w:val="en-US" w:eastAsia="zh-CN" w:bidi="ar-SA"/>
        </w:rPr>
        <w:t>慰问宗教界人士、非公有制经济人士、侨胞等100%完成，得1 分；培训宗教界人士和相关人员增强宗教工作干部和宗教教职人员的法律意识，100%完成，得3分；</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both"/>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质量指标：</w:t>
      </w:r>
      <w:r>
        <w:rPr>
          <w:rFonts w:hint="eastAsia" w:ascii="仿宋" w:hAnsi="仿宋" w:eastAsia="仿宋" w:cs="仿宋"/>
          <w:kern w:val="0"/>
          <w:sz w:val="32"/>
          <w:szCs w:val="32"/>
          <w:lang w:val="en-US" w:eastAsia="zh-CN" w:bidi="ar-SA"/>
        </w:rPr>
        <w:t>宗教界、港澳台侨、新社会阶层、党外知识分子、非公经济人士等领域出现矛盾纠纷，影响社会大局稳定问题为0，得4分。</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val="0"/>
        <w:snapToGrid w:val="0"/>
        <w:spacing w:before="0" w:beforeAutospacing="0" w:after="0" w:afterAutospacing="0" w:line="240" w:lineRule="auto"/>
        <w:ind w:left="0" w:right="0" w:firstLine="48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时效指标：</w:t>
      </w:r>
      <w:r>
        <w:rPr>
          <w:rFonts w:hint="eastAsia" w:ascii="仿宋" w:hAnsi="仿宋" w:eastAsia="仿宋" w:cs="仿宋"/>
          <w:kern w:val="0"/>
          <w:sz w:val="32"/>
          <w:szCs w:val="32"/>
          <w:lang w:val="en-US" w:eastAsia="zh-CN" w:bidi="ar-SA"/>
        </w:rPr>
        <w:t>按时足额发放老年归侨生活补助，得 2分 。</w:t>
      </w:r>
    </w:p>
    <w:p>
      <w:pPr>
        <w:pStyle w:val="6"/>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360" w:lineRule="atLeast"/>
        <w:ind w:left="0" w:right="0" w:firstLine="48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效益指标方面：</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right="0" w:firstLine="643" w:firstLineChars="200"/>
        <w:jc w:val="both"/>
        <w:rPr>
          <w:rFonts w:hint="default"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社会效益指标：</w:t>
      </w:r>
      <w:r>
        <w:rPr>
          <w:rFonts w:hint="eastAsia" w:ascii="仿宋" w:hAnsi="仿宋" w:eastAsia="仿宋" w:cs="仿宋"/>
          <w:kern w:val="0"/>
          <w:sz w:val="32"/>
          <w:szCs w:val="32"/>
          <w:lang w:val="en-US" w:eastAsia="zh-CN" w:bidi="ar-SA"/>
        </w:rPr>
        <w:t>对全县侨胞进行了全面普查，发放侨胞生活补助4人，共计12480元，宣传了侨法；建立了新社会阶层人士活动场所；召开了民营经济人士、党外代表人士座谈会，得 5分；</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both"/>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可持续影响指标：</w:t>
      </w:r>
      <w:r>
        <w:rPr>
          <w:rFonts w:hint="eastAsia" w:ascii="仿宋" w:hAnsi="仿宋" w:eastAsia="仿宋" w:cs="仿宋"/>
          <w:kern w:val="0"/>
          <w:sz w:val="32"/>
          <w:szCs w:val="32"/>
          <w:lang w:val="en-US" w:eastAsia="zh-CN" w:bidi="ar-SA"/>
        </w:rPr>
        <w:t>走访慰问宗教界人士、召开统战工作领导小组会议3次，传达中央、省、市、县委宗教工作会议、文件精神，在全县范围内开展整治非法宗教活动遏制宗教渗透蔓延工作。建立和完善了宗教工作县乡村三级网络和乡镇、村(社区)两级责任制，形成了分级负责，属地管理的良好格局。邀请市、县相关领导、专家进行讲座、授课，举办了《条例》学习培训班2期、民族宗教工作培训班1期。得 5分</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both"/>
        <w:rPr>
          <w:rFonts w:hint="eastAsia" w:ascii="仿宋" w:hAnsi="仿宋" w:eastAsia="仿宋" w:cs="仿宋"/>
          <w:b w:val="0"/>
          <w:bCs/>
          <w:kern w:val="0"/>
          <w:sz w:val="32"/>
          <w:szCs w:val="32"/>
          <w:lang w:val="en-US" w:eastAsia="zh-CN" w:bidi="ar-SA"/>
        </w:rPr>
      </w:pPr>
      <w:r>
        <w:rPr>
          <w:rFonts w:hint="eastAsia" w:ascii="仿宋" w:hAnsi="仿宋" w:eastAsia="仿宋" w:cs="仿宋"/>
          <w:kern w:val="0"/>
          <w:sz w:val="32"/>
          <w:szCs w:val="32"/>
          <w:lang w:val="en-US" w:eastAsia="zh-CN" w:bidi="ar-SA"/>
        </w:rPr>
        <w:t>（3）社会公众或服务对象满意度得10分：在2021年度绩效考核中成绩优异，预算控制</w:t>
      </w:r>
      <w:r>
        <w:rPr>
          <w:rFonts w:hint="eastAsia" w:ascii="仿宋" w:hAnsi="仿宋" w:eastAsia="仿宋" w:cs="仿宋"/>
          <w:b w:val="0"/>
          <w:bCs/>
          <w:kern w:val="0"/>
          <w:sz w:val="32"/>
          <w:szCs w:val="32"/>
          <w:lang w:val="en-US" w:eastAsia="zh-CN" w:bidi="ar-SA"/>
        </w:rPr>
        <w:t>需进一步提升。</w:t>
      </w:r>
    </w:p>
    <w:p>
      <w:pPr>
        <w:wordWrap/>
        <w:snapToGrid w:val="0"/>
        <w:spacing w:line="240" w:lineRule="auto"/>
        <w:ind w:firstLine="640" w:firstLineChars="200"/>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（4）职责履行得10分</w:t>
      </w:r>
    </w:p>
    <w:p>
      <w:pPr>
        <w:wordWrap/>
        <w:snapToGrid w:val="0"/>
        <w:spacing w:line="24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、绩效情况</w:t>
      </w:r>
    </w:p>
    <w:p>
      <w:pPr>
        <w:wordWrap/>
        <w:snapToGrid w:val="0"/>
        <w:spacing w:line="24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一</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部门职责履行情况分析。</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1、坚持高位推动，把准统战工作方向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xml:space="preserve">近年来，县委坚持强化对统战工作的领导，坚持做到“四个纳入”，县委、政府主要领导坚持做到“四个带头”，及时研究解决统战领域实际问题。一是县委常委会今年召开十余次专题会议，听取统战、民族、宗教、侨务等方面工作情况汇报，审议了《2021年全县统一战线工作要点》《江华瑶族自治县工商联换届工作实施方案》《江华瑶族自治县侨联改革方案》《江华瑶族自治县关于开展整治非法宗教活动遏制宗教渗透蔓延工作的实施方案》等文件，听取了关于盘王节筹备、全县少数民族运动会、湖南省第十届少数民族传统运动会筹备情况的相关汇报并进行了认真讨论研究。二是充分发挥县委统一战线工作领导小组的作用，巩固“大统战”工作格局。今年以来召开统战工作领导小组会议3次，通过会议加强与各成员单位之间的联系沟通，并按照2021年度市对县统战工作考核的新要求，制定考核工作计划、分解目标任务，尽早谋划、查漏补缺，加强对上联系、对下落实。三是强化思想政治引领。今年以来，邀请市、县相关领导、专家进行讲座、授课，举办了《条例》学习培训班2期、民族宗教工作培训班1期，召开了民营经济人士、党外代表人士座谈会。通过组织广大统战成员集中学习，开展讨论、专题宣讲、学习资料分享、自学等方式，引导广大统战干部和统一战线成员学深悟透习近平总书记关于加强和改进新时代统一战线工作的重要思想，夯实了共同思想基础。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2、聚焦中心工作，彰显统战价值作为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充分发挥统一战线资源丰富、智力密集、联系广泛的优势和特点，聚焦服务县委、政府中心工作。一是支持和服务民营经济高质量发展。推动“万企大走访、同心促发展”活动常态化。今年以来，县委统战部班子成员带队到高新区(海联产业园)走访企业108家，收集具体问题68个，并联合高新区、人社局、电力局等单位切实帮助园区企业解决实际困难和问题40余个，为民营经济创造优质发展环境。6月25日召开“园区升级+乡村振兴+企业+金融”对接会，宣传金融支持企业发展的政策，推介信贷产品，促成了银企的有效对接，切实帮助企业解决实际问题和困难。组织区域内党外代表人士围绕“大力实施乡村建设行动，全面促进乡村振兴”、“提升基层治理效能”等方面深入调研，提出意见建议，相关意见建议被相关部门吸收转化。二是是推动重点项目建设。今年以来，县委统战部联系造林绿化项目、油茶基地建设项目等6个重点项目。按照“五联系五到户”的要求班子成员带队对重点项目进行联系。截止目前，造林绿化项目完成人工造林2.7万亩,完成投资0.27亿元；油茶基地建设项目完成油茶造林0.81万亩,完成投资0.26亿元。完成油茶低改1.4万亩，完成投资0.17亿元；土地开发整治项目完成前期立项规划设计工作、高标准农田建设完成项目前期摸底、设计单位招标等工作，并通过县财政评审中心评审,选定施工招标代理；潇水江华县河段（白沙洲保护圈）治理工程完成清表700m，基础开挖600m，格宾挡墙施工完成550m³；潇水茶园河段治理工程完成河道治理2.6km，包括完成金磐护岸2.6km，河道清障4.08万m3，拦砂坝一座。三是积极主动配合做好民主党派脱贫攻坚民主监督和调研工作。今年以来，积极支持配合民进湖南省委会赴江华开展“湘江生态环境保护民主监督”调研、民盟永州市委赴江华开展永州食用菌和南岭瑶族文化生态保护区相关工作调研以及全市民营经济代表人士2021年谈心活动暨“万企兴万村”行动启动会等活动。充分发挥民主监督职能，组织政协委员、党外代表人士对县林业局开展民主评议；对垃圾分类处置与资源化利用、生态环境保护进行专题民主监督。继续聘请9名党外人士为优化园区经济发展环境民主监督员，对全县上下相关部门单位不作为、慢作为、吃拿卡要现象进行监督。</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3、创新工作方法，增强统战工作实效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是建立健全机制，创新模式，助力园区升级发展。认真贯彻落实中央、省委关于加强新时代民营经济统战工作的重要指示精神，以“五联系五到户”主题活动为总抓手，在“母亲式”服务的基础上，突出“一把手”服务，以建立健全政企沟通协商制度为重点，完善了统战服务园区“753”工作模式，进一步优化营商环境，助力园区升级发展。今年以来，江华县招商引资项目28个，其中上亿元项目12个，500强企业项目2个，外贸进出口完成36.68亿元人民币，同比增长45.58%。</w:t>
      </w:r>
      <w:r>
        <w:rPr>
          <w:rFonts w:hint="default" w:ascii="仿宋" w:hAnsi="仿宋" w:eastAsia="仿宋" w:cs="仿宋"/>
          <w:sz w:val="32"/>
          <w:szCs w:val="32"/>
          <w:lang w:val="en-US" w:eastAsia="zh-CN" w:bidi="ar-SA"/>
        </w:rPr>
        <w:t>在全省</w:t>
      </w:r>
      <w:r>
        <w:rPr>
          <w:rFonts w:hint="eastAsia" w:ascii="仿宋" w:hAnsi="仿宋" w:eastAsia="仿宋" w:cs="仿宋"/>
          <w:sz w:val="32"/>
          <w:szCs w:val="32"/>
          <w:lang w:val="en-US" w:eastAsia="zh-CN" w:bidi="ar-SA"/>
        </w:rPr>
        <w:t>优</w:t>
      </w:r>
      <w:r>
        <w:rPr>
          <w:rFonts w:hint="default" w:ascii="仿宋" w:hAnsi="仿宋" w:eastAsia="仿宋" w:cs="仿宋"/>
          <w:sz w:val="32"/>
          <w:szCs w:val="32"/>
          <w:lang w:val="en-US" w:eastAsia="zh-CN" w:bidi="ar-SA"/>
        </w:rPr>
        <w:t>化营商环境第三方评估排名中</w:t>
      </w:r>
      <w:r>
        <w:rPr>
          <w:rFonts w:hint="eastAsia" w:ascii="仿宋" w:hAnsi="仿宋" w:eastAsia="仿宋" w:cs="仿宋"/>
          <w:sz w:val="32"/>
          <w:szCs w:val="32"/>
          <w:lang w:val="en-US" w:eastAsia="zh-CN" w:bidi="ar-SA"/>
        </w:rPr>
        <w:t>江华县排名第五名（湘政办发[2021]1号），2021年</w:t>
      </w:r>
      <w:r>
        <w:rPr>
          <w:rFonts w:hint="default" w:ascii="仿宋" w:hAnsi="仿宋" w:eastAsia="仿宋" w:cs="仿宋"/>
          <w:sz w:val="32"/>
          <w:szCs w:val="32"/>
          <w:lang w:val="en-US" w:eastAsia="zh-CN" w:bidi="ar-SA"/>
        </w:rPr>
        <w:t>江华</w:t>
      </w:r>
      <w:r>
        <w:rPr>
          <w:rFonts w:hint="eastAsia" w:ascii="仿宋" w:hAnsi="仿宋" w:eastAsia="仿宋" w:cs="仿宋"/>
          <w:sz w:val="32"/>
          <w:szCs w:val="32"/>
          <w:lang w:val="en-US" w:eastAsia="zh-CN" w:bidi="ar-SA"/>
        </w:rPr>
        <w:t>高新区（海联产业园)获省政府督查激励，在全市民营经济统战工作会议暨民营经济高质量发展大会</w:t>
      </w:r>
      <w:r>
        <w:rPr>
          <w:rFonts w:hint="default" w:ascii="仿宋" w:hAnsi="仿宋" w:eastAsia="仿宋" w:cs="仿宋"/>
          <w:sz w:val="32"/>
          <w:szCs w:val="32"/>
          <w:lang w:val="en-US" w:eastAsia="zh-CN" w:bidi="ar-SA"/>
        </w:rPr>
        <w:t>上，江华</w:t>
      </w:r>
      <w:r>
        <w:rPr>
          <w:rFonts w:hint="eastAsia" w:ascii="仿宋" w:hAnsi="仿宋" w:eastAsia="仿宋" w:cs="仿宋"/>
          <w:sz w:val="32"/>
          <w:szCs w:val="32"/>
          <w:lang w:val="en-US" w:eastAsia="zh-CN" w:bidi="ar-SA"/>
        </w:rPr>
        <w:t>高新区（海联产业园)</w:t>
      </w:r>
      <w:r>
        <w:rPr>
          <w:rFonts w:hint="default" w:ascii="仿宋" w:hAnsi="仿宋" w:eastAsia="仿宋" w:cs="仿宋"/>
          <w:sz w:val="32"/>
          <w:szCs w:val="32"/>
          <w:lang w:val="en-US" w:eastAsia="zh-CN" w:bidi="ar-SA"/>
        </w:rPr>
        <w:t>作典型发言。</w:t>
      </w:r>
      <w:r>
        <w:rPr>
          <w:rFonts w:hint="eastAsia" w:ascii="仿宋" w:hAnsi="仿宋" w:eastAsia="仿宋" w:cs="仿宋"/>
          <w:sz w:val="32"/>
          <w:szCs w:val="32"/>
          <w:lang w:val="en-US" w:eastAsia="zh-CN" w:bidi="ar-SA"/>
        </w:rPr>
        <w:t>二是加强政企联动，加快乡村振兴全面推进。11月11日召开江华瑶族自治县“万企兴万村”活动启动仪式，是全市各县区中第一个启动“万企兴万村”行动的县区。全县一百余家民营企业采取“一企帮一村、一企帮多村、多企帮一村”等方式，充分发挥自身优势，积极帮助联系村巩固拓展脱贫攻坚成果和乡村振兴等重点工作。今年以来，企业共投入产业帮扶金额70.25万元，产业帮扶人数134人；就业帮扶金额487.09万元，就业帮扶人数2100人；公益帮扶金额178万元，公益帮扶人数1457人；技能帮扶金额43.4万元，技能帮扶人数79人。深入开展好“迎老乡、回故乡、建家乡”活动，全年共组织开展春风行动、民营企业招聘月活动、金秋招聘月活动等共计21场次，累计提供岗位上千余个，共引回江华籍老乡千余人。充分发挥广州省湖南江华异地商会作用，在永州市电子信息产业暨乡村振兴活动上，推介引进江华瑶族自治县标准化柑桔产业园（会合）建设、江华瑶族自治县肉联厂2个项目。此外，江华县创新思维，引导部分企业在生产车间内开设“宝妈”生产专线，切实解决了“宝妈”的在家就业难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三是加强思想引领，推动商会换届圆满完成。扎实推进乡镇基层商会换届工作。2021年3月11日，县委统战部、县工商联联合下发了《关于加强乡镇基层商会换届工作的意见》。今年上半年完成了沱江镇、界牌乡、白芒营镇、涛圩镇、河路口镇、水口镇、大圩镇、小圩壮族乡、码市镇等9个基层商会的换届工作，另新组建涔天河镇、大路铺镇2个基层商会。同时，积极筹备建立江华第一个异地商会—广东省江华商会。9月17日县工商联（总商会）完成换届工作。通过加强对民营经济人士的思想政治引领，加大为非公经济服务的力度，加强与社会各界人士的联系和沟通，充分发挥了工商联和商会在社会治理中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四是加强人才培养，做好党外代表人士工作。充分发挥参谋助手作用，严格按照省委组织部、统战部关于人大代表、政协委员提名推荐的有关要求，认真做好市、县党外人大代表、政协委员的推荐工作。严格按照“凡进必评”要求，由14个部门单位进行对非公有制经济人士进行了综合评价。目前，县人大代表、常委，县政协委员、常委的党外代表人士的提名推荐工作比例均达到规定要求。在参政议政作用发挥方面，鼓励我县人大代表和政协委员在两会、党代会期间积极提交建议提案，同时加大对代表和委员的培训力度，提高各类建议提案质量。围绕县乡领导班子换届，做好党外干部的安排和培养。我县人大、政府、政协领导班子和司法机关、政府工作部门、县人大专门委员会、政协各专门委员会共配备了9名党外领导干部。今年上半年，有7名优秀的科级党外干部提拔重用到了乡镇任职。完善了党外代表人士数据库，培养了一批后备力量。11月上旬开展《中国共产党统一战线条例》解读、宗教工作培训班，对68名党外干部进行专题培训。11月11日开展了党外代表人士谈心谈话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五是加强宗教管理，保持宗教领域和谐稳定。认真贯彻落实中央、省、市委宗教工作决策部署，主体责任履行到位。调整了县宗教工作领导小组，在原来的15个成员单位的基础上增加消防大队、卫生局，司法局3个单位，加强了宗教工作领导小组成员单位力量。4月21日县委常委会专题研究讨论宗教相关工作。并明确结合我县实际制定下发了《关于开展整治非法宗教活动遏制宗教渗透蔓延工作的实施方案》，对全县宗教活动场所、宗教教职人员、信教群众进行了全面摸排，严厉打击非法宗教活动，全县宗教领域持续保持了和谐稳定的良好局面。今年是换届之年，人员变动较大，县乡换届完成之后，及时更新完善了宗教工作县、乡、村三级网络、两级责任制，加强乡村宗教管理力量，确保宗教工作有序衔接。完善场所基础设施，2021年向上争取资金4万元用于豸山寺维修。深入开展宗教活动场所“五进五好”、谈心谈话等活动，加强思想文化阵地建设。11月18日邀请市委统战部副部长、市民宗局局长周建志对全县宗教管理干部进行了民族宗教工作培训。今年以来，我县民族宗教领域没有发生突发事件，没有发生负面网络舆情，更没有发生群体性事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六是加强民族团结，促进民族文化繁荣发展。紧紧围绕铸牢中华民族共同体意识这条主线，巩固发展民族团结大局。在2021年全市民族工作会议上，江华县做典型发言。推进民族团结发展，江华县出台了《巩固提升全国民族团结进步示范县创建工作实施意见》，积极开展民族团结进步宣传月活动和“七进”活动，江华县沱江镇第七小学获评湖南省铸牢中华民族共同体意识教育示范学校。积极开展2022年省第十届民族运动会筹备相关工作；认真做好少数民族发展资金和民族文化专项资金的申报、拨付管理工作；全力完成高考考生民族成分审核；做好民族医疗减免资金的申报拨付和民贸贴息等工作。加强民族文旅融合，湘江乡桐冲口村被评为湖南省首批民族乡村振兴试点单位、水口镇鹊桥客栈被评为民族客栈，成为推进民族地区巩固拓展脱贫攻坚成果与乡村振兴有效衔接，带动民族地区特色文旅产业融合发展的有力抓手。11月江华瑶族自治县第一届少数民族传统体育运动会、2021年神州瑶都（中国·江华）瑶族盘王节圆满举办，积极倡导发起的湘粤桂三省（区）十二县盘王节暨民族贸易交流会，促进了边界各民族交往交流交融。强化文化传承保护，积极组织开展丰富多彩的文化和志愿服务活动，如开展非遗进校园、进景区等活动，大力传承发展非遗文化；免费开展了2021年江华瑶族非遗文化技艺传承培训、瑶歌、瑶族织锦免费培训；成功举办2021年“文化和自然遗产日”宣传暨第五届瑶族医药节活动；江华县瑶族小学获评湖南省少数民族文化传承示范基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七是加强政治引领，凝聚新的社会阶层人士发展合力。2019年9月江华县新的社会阶层人士联合会成立以来，队伍不断壮大、交流互动活动不断增多、活力不断增强。为新的社会阶层人士在促进经济发展、参与社会治理、维护社会稳定和意识形态安全等方面发挥了较好作用。今年以来，组织新的社会阶层人士联合会开展了“庆祝中国共产党建党100周年义务植树”、“凝聚新力量，筑梦新时代”团建活动、谈心谈话活动以及拍摄新阶人士讲党史故事—《瑶山里的星星之火》，并到永州市第一个基层组织—中共江华支部旧址接受红色教育。组织6月25-29日县委统战部牵头、相关企业参与举办了庆祝中国共产党成立100周年2021江华“同心杯”第二届男子篮球邀请赛，进一步提升了江华县统一战线活力、凝聚力、影响力，增强了广大统战成员改革发展共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八是加强组织引导，创建同心乡村卓有成效。同心美丽乡村创建是统一战线助力乡村振兴的重要抓手，江华县高度重视同心美丽乡村创建工作，各联点领导和指导员积极指导各村立足实际，深挖统战元素和同心文化，形式多样、立体多元地宣传展示“同心美丽乡村”创建成果。一年来，广大统战成员深入各示范点新建小微企业，兴办茶叶、水果、蔬菜等农特产品基地，开展送科技、送法律、送卫生服务，捐献图书。示范点的示范带动作用日益凸显。目前我县申报省级同心美丽乡村1个，成功创建市级同心美丽乡村3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九是加强统一领导，推进港澳台侨海外统战工作稳步向好。以“亲情服务、加强联络”为重点,扎实做好港澳台侨海外统战工作。今年1月29日，圆满召开了全县第六次侨代会，完成江华县侨联换届选举。加强了海外联系交流的力度，利用江华侨界人士联谊微信群加强联系。在春节期间利用微信给部分海外侨胞发去了新春祝福信息，开展了侨届代表人士及困难侨眷走访慰问。春节走访慰问归侨侨眷代表人士4户、困难归侨及侨眷12户，重阳节走访侨界老同志6人，听取他们对侨联工作的意见和建议。为他们送去了节日祝福，并与他们共话家乡发展。5月接待了港胞周艳冰女士一行回家探亲。积极开展中国侨联“亲情中华·云端观影---中国侨联2021中秋国庆请侨胞看电影”活动，步一拉近了与侨界群众的距离。</w:t>
      </w:r>
    </w:p>
    <w:p>
      <w:pPr>
        <w:numPr>
          <w:ilvl w:val="0"/>
          <w:numId w:val="0"/>
        </w:numPr>
        <w:wordWrap/>
        <w:snapToGrid w:val="0"/>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（二）社会经济效益分析</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经济效益指标：</w:t>
      </w:r>
      <w:r>
        <w:rPr>
          <w:rFonts w:hint="eastAsia" w:ascii="仿宋" w:hAnsi="仿宋" w:eastAsia="仿宋" w:cs="仿宋"/>
          <w:b w:val="0"/>
          <w:bCs/>
          <w:sz w:val="32"/>
          <w:szCs w:val="32"/>
          <w:lang w:val="en-US" w:eastAsia="zh-CN"/>
        </w:rPr>
        <w:t>宗教、侨务、新社会阶层、非公经济、四同创建等工作经费开支控制在预算内。</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社会效益指标：</w:t>
      </w:r>
      <w:r>
        <w:rPr>
          <w:rFonts w:hint="eastAsia" w:ascii="仿宋" w:hAnsi="仿宋" w:eastAsia="仿宋" w:cs="仿宋"/>
          <w:kern w:val="0"/>
          <w:sz w:val="32"/>
          <w:szCs w:val="32"/>
          <w:lang w:val="en-US" w:eastAsia="zh-CN" w:bidi="ar-SA"/>
        </w:rPr>
        <w:t>对全县侨胞进行了全面普查，发放侨胞生活补助4人，共计12480元，宣传了侨法；建立了新社会阶层人士活动场所；召开了民营经济人士、党外代表人士座谈会。</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可持续影响指标：</w:t>
      </w:r>
      <w:r>
        <w:rPr>
          <w:rFonts w:hint="eastAsia" w:ascii="仿宋" w:hAnsi="仿宋" w:eastAsia="仿宋" w:cs="仿宋"/>
          <w:kern w:val="0"/>
          <w:sz w:val="32"/>
          <w:szCs w:val="32"/>
          <w:lang w:val="en-US" w:eastAsia="zh-CN" w:bidi="ar-SA"/>
        </w:rPr>
        <w:t>走访慰问宗教界人士、召开统战工作领导小组会议3次，传达中央、省、市、县委宗教工作会议、文件精神，在全县范围内开展整治非法宗教活动遏制宗教渗透蔓延工作。建立和完善了宗教工作县乡村三级网络和乡镇、村(社区)两级责任制，形成了分级负责，属地管理的良好格局。邀请市、县相关领导、专家进行讲座、授课，举办了《条例》学习培训班2期、民族宗教工作培训班1期。</w:t>
      </w:r>
      <w:r>
        <w:rPr>
          <w:rFonts w:hint="eastAsia" w:ascii="仿宋" w:hAnsi="仿宋" w:eastAsia="仿宋" w:cs="仿宋"/>
          <w:b w:val="0"/>
          <w:bCs/>
          <w:sz w:val="32"/>
          <w:szCs w:val="32"/>
        </w:rPr>
        <w:t>积极化解宗教领域矛盾纠纷，加强宗教活动场所监督检查，加强宗教政策法规宣传，增强守法用法观念，促进宗教界及社会和谐稳定，提升群众生活幸福指数</w:t>
      </w:r>
      <w:r>
        <w:rPr>
          <w:rFonts w:hint="eastAsia" w:ascii="仿宋" w:hAnsi="仿宋" w:eastAsia="仿宋" w:cs="仿宋"/>
          <w:b w:val="0"/>
          <w:bCs/>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（三）行政效能分析</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1.加强对省市县财政预算资金管理方面制度的学习培训，不断提高职能股室的业务工作能力。及时组织股室负责人学习</w:t>
      </w:r>
      <w:r>
        <w:rPr>
          <w:rFonts w:hint="eastAsia" w:ascii="仿宋" w:hAnsi="仿宋" w:eastAsia="仿宋" w:cs="仿宋"/>
          <w:b w:val="0"/>
          <w:bCs/>
          <w:sz w:val="32"/>
          <w:szCs w:val="32"/>
          <w:lang w:val="en-US" w:eastAsia="zh-CN"/>
        </w:rPr>
        <w:t>江华</w:t>
      </w:r>
      <w:r>
        <w:rPr>
          <w:rFonts w:hint="eastAsia" w:ascii="仿宋" w:hAnsi="仿宋" w:eastAsia="仿宋" w:cs="仿宋"/>
          <w:b w:val="0"/>
          <w:bCs/>
          <w:sz w:val="32"/>
          <w:szCs w:val="32"/>
        </w:rPr>
        <w:t>县财政局出台的培训费、会议费、差旅费等相关制度的学习。</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2.严格制度执行，特别是“三公”经费的预算控制。加强对公务用车的管理，严格招待费用审核审批程序，“三公”经费较好地控制在预算范围之内。</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五、存在的问题</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人员严重缺编与工作任务繁重矛盾日益突出。</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六、后续的工作计划</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 加强财务管理，严格财务审核。在费用报账支付时，按照预算规定的费用项目和用途进行资金使用审核、列报支付、财务核算，杜绝超支现象的发生。</w:t>
      </w:r>
    </w:p>
    <w:p>
      <w:pPr>
        <w:keepNext w:val="0"/>
        <w:keepLines w:val="0"/>
        <w:pageBreakBefore w:val="0"/>
        <w:widowControl w:val="0"/>
        <w:numPr>
          <w:ilvl w:val="0"/>
          <w:numId w:val="0"/>
        </w:numPr>
        <w:pBdr>
          <w:top w:val="none" w:color="000000" w:sz="0" w:space="0"/>
          <w:left w:val="none" w:color="000000" w:sz="0" w:space="0"/>
          <w:bottom w:val="none" w:color="000000" w:sz="0" w:space="30"/>
          <w:right w:val="none" w:color="000000" w:sz="0" w:space="0"/>
        </w:pBdr>
        <w:kinsoku/>
        <w:wordWrap/>
        <w:overflowPunct/>
        <w:topLinePunct w:val="0"/>
        <w:autoSpaceDE/>
        <w:autoSpaceDN w:val="0"/>
        <w:bidi w:val="0"/>
        <w:adjustRightInd w:val="0"/>
        <w:snapToGrid w:val="0"/>
        <w:spacing w:line="240" w:lineRule="auto"/>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持续抓好“三公”经费控制管理。严格控制“三公”经费的规模和比例，把关“三公”经费支出的审核、审批，杜绝挪用和挤占其他预算资金行为；进一步细化“三公”经费的管理，合理压缩“三公”经费支出。</w:t>
      </w:r>
    </w:p>
    <w:p>
      <w:pPr>
        <w:wordWrap w:val="0"/>
        <w:snapToGrid w:val="0"/>
        <w:spacing w:line="240" w:lineRule="auto"/>
        <w:jc w:val="righ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2022年5月12 日</w:t>
      </w:r>
    </w:p>
    <w:sectPr>
      <w:footerReference r:id="rId5" w:type="default"/>
      <w:footerReference r:id="rId6" w:type="even"/>
      <w:pgSz w:w="11906" w:h="16838"/>
      <w:pgMar w:top="1440" w:right="1800" w:bottom="1440" w:left="1800" w:header="851" w:footer="1361" w:gutter="0"/>
      <w:pgNumType w:start="4"/>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20" w:leftChars="100" w:right="220" w:rightChars="1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3"/>
      <w:ind w:right="360" w:firstLine="360"/>
    </w:pP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8D594"/>
    <w:multiLevelType w:val="singleLevel"/>
    <w:tmpl w:val="45C8D5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TAyZWZlNzJlZTVhNDQxYzE0MDQ3MzhhYTY0ZjkifQ=="/>
  </w:docVars>
  <w:rsids>
    <w:rsidRoot w:val="00000000"/>
    <w:rsid w:val="0F7D5AE3"/>
    <w:rsid w:val="1077526D"/>
    <w:rsid w:val="1A0C2EC9"/>
    <w:rsid w:val="20281592"/>
    <w:rsid w:val="22BA6DC0"/>
    <w:rsid w:val="244B0A92"/>
    <w:rsid w:val="2763094A"/>
    <w:rsid w:val="27B3543B"/>
    <w:rsid w:val="27FC632B"/>
    <w:rsid w:val="29E5576E"/>
    <w:rsid w:val="2BA56AC7"/>
    <w:rsid w:val="303C3BCB"/>
    <w:rsid w:val="351D50B5"/>
    <w:rsid w:val="390A6B73"/>
    <w:rsid w:val="39DA3FF3"/>
    <w:rsid w:val="3AE34956"/>
    <w:rsid w:val="3C9012E0"/>
    <w:rsid w:val="3DB86BEB"/>
    <w:rsid w:val="489B43B6"/>
    <w:rsid w:val="4B2477C4"/>
    <w:rsid w:val="4F2C6C47"/>
    <w:rsid w:val="4F5543EF"/>
    <w:rsid w:val="50BE784E"/>
    <w:rsid w:val="5814296E"/>
    <w:rsid w:val="69CA7330"/>
    <w:rsid w:val="6D0804D2"/>
    <w:rsid w:val="6D3C20DB"/>
    <w:rsid w:val="724E4133"/>
    <w:rsid w:val="761958C7"/>
    <w:rsid w:val="7F5417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qFormat/>
    <w:uiPriority w:val="9"/>
    <w:pPr>
      <w:widowControl/>
      <w:adjustRightInd w:val="0"/>
      <w:snapToGrid w:val="0"/>
      <w:spacing w:before="100" w:beforeAutospacing="1" w:after="100" w:afterAutospacing="1"/>
      <w:jc w:val="left"/>
      <w:outlineLvl w:val="0"/>
    </w:pPr>
    <w:rPr>
      <w:rFonts w:ascii="宋体" w:hAnsi="宋体" w:eastAsia="微软雅黑"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0"/>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9">
    <w:name w:val="page number"/>
    <w:basedOn w:val="8"/>
    <w:qFormat/>
    <w:uiPriority w:val="0"/>
  </w:style>
  <w:style w:type="paragraph" w:customStyle="1" w:styleId="10">
    <w:name w:val="样式2"/>
    <w:basedOn w:val="1"/>
    <w:qFormat/>
    <w:uiPriority w:val="99"/>
    <w:pPr>
      <w:widowControl/>
      <w:shd w:val="clear" w:color="auto" w:fill="FFFFFF"/>
      <w:spacing w:before="100" w:beforeAutospacing="1" w:after="100" w:afterAutospacing="1"/>
      <w:ind w:left="562"/>
      <w:jc w:val="center"/>
    </w:pPr>
    <w:rPr>
      <w:rFonts w:ascii="宋体"/>
      <w:b/>
      <w:bCs/>
      <w:szCs w:val="21"/>
    </w:rPr>
  </w:style>
  <w:style w:type="paragraph" w:customStyle="1" w:styleId="11">
    <w:name w:val="List Paragraph"/>
    <w:basedOn w:val="1"/>
    <w:unhideWhenUsed/>
    <w:qFormat/>
    <w:uiPriority w:val="99"/>
    <w:pPr>
      <w:ind w:firstLine="420" w:firstLineChars="200"/>
    </w:pPr>
  </w:style>
  <w:style w:type="character" w:customStyle="1" w:styleId="12">
    <w:name w:val="页眉 Char Char"/>
    <w:basedOn w:val="8"/>
    <w:link w:val="4"/>
    <w:qFormat/>
    <w:uiPriority w:val="99"/>
    <w:rPr>
      <w:rFonts w:ascii="Tahoma" w:hAnsi="Tahoma"/>
      <w:sz w:val="18"/>
      <w:szCs w:val="18"/>
    </w:rPr>
  </w:style>
  <w:style w:type="character" w:customStyle="1" w:styleId="13">
    <w:name w:val="页脚 Char Char"/>
    <w:basedOn w:val="8"/>
    <w:link w:val="3"/>
    <w:uiPriority w:val="0"/>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3348</Words>
  <Characters>3509</Characters>
  <Lines>2</Lines>
  <Paragraphs>1</Paragraphs>
  <TotalTime>2</TotalTime>
  <ScaleCrop>false</ScaleCrop>
  <LinksUpToDate>false</LinksUpToDate>
  <CharactersWithSpaces>3579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2022-05-16T02:17:18Z</dcterms:modified>
  <dc:title>2017年度部门整体绩效评价报告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E70C998AFF5A43979A61FF468CAFB74E</vt:lpwstr>
  </property>
</Properties>
</file>