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rPr>
          <w:rFonts w:hint="eastAsia" w:ascii="宋体" w:hAnsi="宋体" w:cs="宋体"/>
          <w:b/>
          <w:bCs/>
          <w:color w:val="333333"/>
          <w:sz w:val="24"/>
        </w:rPr>
      </w:pPr>
      <w:r>
        <w:rPr>
          <w:rFonts w:hint="eastAsia" w:eastAsia="黑体"/>
          <w:kern w:val="0"/>
          <w:sz w:val="32"/>
          <w:szCs w:val="32"/>
        </w:rPr>
        <w:t xml:space="preserve">  </w:t>
      </w:r>
    </w:p>
    <w:p>
      <w:pPr>
        <w:widowControl/>
        <w:jc w:val="left"/>
        <w:rPr>
          <w:rFonts w:hint="eastAsia" w:ascii="宋体" w:hAnsi="宋体" w:cs="宋体"/>
          <w:b/>
          <w:bCs/>
          <w:color w:val="333333"/>
          <w:sz w:val="24"/>
        </w:rPr>
      </w:pPr>
      <w:r>
        <w:rPr>
          <w:rFonts w:hint="eastAsia" w:ascii="宋体" w:hAnsi="宋体" w:cs="宋体"/>
          <w:b/>
          <w:bCs/>
          <w:color w:val="333333"/>
          <w:sz w:val="24"/>
        </w:rPr>
        <w:t>附1-1</w:t>
      </w:r>
    </w:p>
    <w:p>
      <w:pPr>
        <w:adjustRightInd w:val="0"/>
        <w:snapToGrid w:val="0"/>
        <w:spacing w:before="50" w:beforeLines="0" w:line="360" w:lineRule="auto"/>
        <w:rPr>
          <w:rFonts w:hint="eastAsia" w:ascii="宋体" w:hAnsi="宋体" w:cs="宋体"/>
          <w:b/>
          <w:bCs/>
          <w:color w:val="333333"/>
          <w:sz w:val="32"/>
          <w:szCs w:val="32"/>
        </w:rPr>
      </w:pPr>
    </w:p>
    <w:p>
      <w:pPr>
        <w:adjustRightInd w:val="0"/>
        <w:snapToGrid w:val="0"/>
        <w:spacing w:before="50" w:beforeLines="0" w:line="360" w:lineRule="auto"/>
        <w:jc w:val="center"/>
        <w:rPr>
          <w:rFonts w:ascii="宋体" w:hAnsi="宋体" w:cs="宋体"/>
          <w:b/>
          <w:bCs/>
          <w:color w:val="333333"/>
          <w:sz w:val="32"/>
          <w:szCs w:val="32"/>
        </w:rPr>
      </w:pPr>
      <w:bookmarkStart w:id="0" w:name="_GoBack"/>
      <w:r>
        <w:rPr>
          <w:rFonts w:hint="eastAsia" w:ascii="宋体" w:hAnsi="宋体" w:cs="宋体"/>
          <w:b/>
          <w:bCs/>
          <w:color w:val="333333"/>
          <w:sz w:val="32"/>
          <w:szCs w:val="32"/>
        </w:rPr>
        <w:t>2018年度部门整体支出绩效评价指标体系评分表</w:t>
      </w:r>
    </w:p>
    <w:bookmarkEnd w:id="0"/>
    <w:tbl>
      <w:tblPr>
        <w:tblStyle w:val="5"/>
        <w:tblW w:w="10582" w:type="dxa"/>
        <w:tblInd w:w="-840" w:type="dxa"/>
        <w:tblLayout w:type="fixed"/>
        <w:tblCellMar>
          <w:top w:w="15" w:type="dxa"/>
          <w:left w:w="15" w:type="dxa"/>
          <w:bottom w:w="15" w:type="dxa"/>
          <w:right w:w="15" w:type="dxa"/>
        </w:tblCellMar>
      </w:tblPr>
      <w:tblGrid>
        <w:gridCol w:w="492"/>
        <w:gridCol w:w="444"/>
        <w:gridCol w:w="828"/>
        <w:gridCol w:w="5752"/>
        <w:gridCol w:w="2360"/>
        <w:gridCol w:w="336"/>
        <w:gridCol w:w="370"/>
      </w:tblGrid>
      <w:tr>
        <w:tblPrEx>
          <w:tblLayout w:type="fixed"/>
          <w:tblCellMar>
            <w:top w:w="15" w:type="dxa"/>
            <w:left w:w="15" w:type="dxa"/>
            <w:bottom w:w="15" w:type="dxa"/>
            <w:right w:w="15" w:type="dxa"/>
          </w:tblCellMar>
        </w:tblPrEx>
        <w:trPr>
          <w:trHeight w:val="90" w:hRule="atLeast"/>
        </w:trPr>
        <w:tc>
          <w:tcPr>
            <w:tcW w:w="4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4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65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3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评分标准</w:t>
            </w:r>
          </w:p>
        </w:tc>
        <w:tc>
          <w:tcPr>
            <w:tcW w:w="33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备注</w:t>
            </w:r>
          </w:p>
        </w:tc>
        <w:tc>
          <w:tcPr>
            <w:tcW w:w="3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得分</w:t>
            </w:r>
          </w:p>
        </w:tc>
      </w:tr>
      <w:tr>
        <w:tblPrEx>
          <w:tblLayout w:type="fixed"/>
          <w:tblCellMar>
            <w:top w:w="15" w:type="dxa"/>
            <w:left w:w="15" w:type="dxa"/>
            <w:bottom w:w="15" w:type="dxa"/>
            <w:right w:w="15" w:type="dxa"/>
          </w:tblCellMar>
        </w:tblPrEx>
        <w:trPr>
          <w:trHeight w:val="90" w:hRule="atLeast"/>
        </w:trPr>
        <w:tc>
          <w:tcPr>
            <w:tcW w:w="4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 w:val="18"/>
                <w:szCs w:val="18"/>
              </w:rPr>
            </w:pPr>
          </w:p>
        </w:tc>
        <w:tc>
          <w:tcPr>
            <w:tcW w:w="4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指标名称</w:t>
            </w:r>
          </w:p>
        </w:tc>
        <w:tc>
          <w:tcPr>
            <w:tcW w:w="575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ascii="宋体" w:hAnsi="宋体" w:cs="宋体"/>
                <w:b/>
                <w:color w:val="000000"/>
                <w:sz w:val="18"/>
                <w:szCs w:val="18"/>
              </w:rPr>
            </w:pPr>
            <w:r>
              <w:rPr>
                <w:rFonts w:hint="eastAsia" w:ascii="宋体" w:hAnsi="宋体" w:cs="宋体"/>
                <w:b/>
                <w:color w:val="000000"/>
                <w:kern w:val="0"/>
                <w:sz w:val="18"/>
                <w:szCs w:val="18"/>
              </w:rPr>
              <w:t>指标解释说明</w:t>
            </w:r>
          </w:p>
        </w:tc>
        <w:tc>
          <w:tcPr>
            <w:tcW w:w="23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 w:val="18"/>
                <w:szCs w:val="18"/>
              </w:rPr>
            </w:pPr>
          </w:p>
        </w:tc>
        <w:tc>
          <w:tcPr>
            <w:tcW w:w="3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 w:val="18"/>
                <w:szCs w:val="18"/>
              </w:rPr>
            </w:pPr>
          </w:p>
        </w:tc>
        <w:tc>
          <w:tcPr>
            <w:tcW w:w="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 w:val="18"/>
                <w:szCs w:val="18"/>
              </w:rPr>
            </w:pPr>
          </w:p>
        </w:tc>
      </w:tr>
      <w:tr>
        <w:tblPrEx>
          <w:tblLayout w:type="fixed"/>
          <w:tblCellMar>
            <w:top w:w="15" w:type="dxa"/>
            <w:left w:w="15" w:type="dxa"/>
            <w:bottom w:w="15" w:type="dxa"/>
            <w:right w:w="15" w:type="dxa"/>
          </w:tblCellMar>
        </w:tblPrEx>
        <w:trPr>
          <w:trHeight w:val="764" w:hRule="atLeast"/>
        </w:trPr>
        <w:tc>
          <w:tcPr>
            <w:tcW w:w="4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投入（15分）</w:t>
            </w:r>
          </w:p>
        </w:tc>
        <w:tc>
          <w:tcPr>
            <w:tcW w:w="4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目标设定（5分）</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职责明确（1分）</w:t>
            </w:r>
          </w:p>
        </w:tc>
        <w:tc>
          <w:tcPr>
            <w:tcW w:w="5752"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宋体" w:hAnsi="宋体" w:cs="宋体"/>
                <w:color w:val="000000"/>
                <w:sz w:val="18"/>
                <w:szCs w:val="18"/>
              </w:rPr>
            </w:pPr>
            <w:r>
              <w:rPr>
                <w:rFonts w:hint="eastAsia" w:ascii="宋体" w:hAnsi="宋体" w:cs="宋体"/>
                <w:color w:val="000000"/>
                <w:kern w:val="0"/>
                <w:sz w:val="18"/>
                <w:szCs w:val="18"/>
              </w:rPr>
              <w:t>部门的职责设定是否符合“三定”方案中所赋予的职责和年度承担的重点工作，用以反映和评价部门工作的目的性与计划性。</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符合（1分）；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不符合（0分）。</w:t>
            </w: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r>
      <w:tr>
        <w:tblPrEx>
          <w:tblLayout w:type="fixed"/>
          <w:tblCellMar>
            <w:top w:w="15" w:type="dxa"/>
            <w:left w:w="15" w:type="dxa"/>
            <w:bottom w:w="15" w:type="dxa"/>
            <w:right w:w="15" w:type="dxa"/>
          </w:tblCellMar>
        </w:tblPrEx>
        <w:trPr>
          <w:trHeight w:val="1403" w:hRule="atLeast"/>
        </w:trPr>
        <w:tc>
          <w:tcPr>
            <w:tcW w:w="4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4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活动合规性（1分）</w:t>
            </w:r>
          </w:p>
        </w:tc>
        <w:tc>
          <w:tcPr>
            <w:tcW w:w="5752"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宋体" w:hAnsi="宋体" w:cs="宋体"/>
                <w:color w:val="000000"/>
                <w:sz w:val="18"/>
                <w:szCs w:val="18"/>
              </w:rPr>
            </w:pPr>
            <w:r>
              <w:rPr>
                <w:rFonts w:hint="eastAsia" w:ascii="宋体" w:hAnsi="宋体" w:cs="宋体"/>
                <w:color w:val="000000"/>
                <w:kern w:val="0"/>
                <w:sz w:val="18"/>
                <w:szCs w:val="18"/>
              </w:rPr>
              <w:t>部门的活动是否在职责范围之内并符合部门中长期规划，用以反映和评价部门活动目标与部门履职、年度工作任务的相符性情况。评价要点：1.部门活动的设定在部门所确定的职责范围之内；2.部门活动符合省委、省政府的发展规划及本部门的年度工作安排与发展规划。</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全部符合（1分）；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其中一项不符合（0分）。</w:t>
            </w: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r>
      <w:tr>
        <w:tblPrEx>
          <w:tblLayout w:type="fixed"/>
          <w:tblCellMar>
            <w:top w:w="15" w:type="dxa"/>
            <w:left w:w="15" w:type="dxa"/>
            <w:bottom w:w="15" w:type="dxa"/>
            <w:right w:w="15" w:type="dxa"/>
          </w:tblCellMar>
        </w:tblPrEx>
        <w:trPr>
          <w:trHeight w:val="1750" w:hRule="atLeast"/>
        </w:trPr>
        <w:tc>
          <w:tcPr>
            <w:tcW w:w="4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4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活动合理性（1分）</w:t>
            </w:r>
          </w:p>
        </w:tc>
        <w:tc>
          <w:tcPr>
            <w:tcW w:w="5752"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宋体" w:hAnsi="宋体" w:cs="宋体"/>
                <w:color w:val="000000"/>
                <w:sz w:val="18"/>
                <w:szCs w:val="18"/>
              </w:rPr>
            </w:pPr>
            <w:r>
              <w:rPr>
                <w:rFonts w:hint="eastAsia" w:ascii="宋体" w:hAnsi="宋体" w:cs="宋体"/>
                <w:color w:val="000000"/>
                <w:kern w:val="0"/>
                <w:sz w:val="18"/>
                <w:szCs w:val="18"/>
              </w:rPr>
              <w:t>部门所设立的活动是否明确合理、活动的关键性指标设置是否可衡量，用以反映和评价部门活动目标设定的合理性。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评价要点：1.活动目标的设定是可量化的，可通过清晰、可衡量的关键指标值予以体现；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2.在活动目标设定时，将关键指标明细分解为具体的达成目标与工作任务。</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全部符合（1分）；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其中一项不符合（0分）。</w:t>
            </w: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r>
      <w:tr>
        <w:tblPrEx>
          <w:tblLayout w:type="fixed"/>
          <w:tblCellMar>
            <w:top w:w="15" w:type="dxa"/>
            <w:left w:w="15" w:type="dxa"/>
            <w:bottom w:w="15" w:type="dxa"/>
            <w:right w:w="15" w:type="dxa"/>
          </w:tblCellMar>
        </w:tblPrEx>
        <w:trPr>
          <w:trHeight w:val="878" w:hRule="atLeast"/>
        </w:trPr>
        <w:tc>
          <w:tcPr>
            <w:tcW w:w="4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4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目标覆盖率（1分）</w:t>
            </w:r>
          </w:p>
        </w:tc>
        <w:tc>
          <w:tcPr>
            <w:tcW w:w="5752"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宋体" w:hAnsi="宋体" w:cs="宋体"/>
                <w:color w:val="000000"/>
                <w:sz w:val="18"/>
                <w:szCs w:val="18"/>
              </w:rPr>
            </w:pPr>
            <w:r>
              <w:rPr>
                <w:rFonts w:hint="eastAsia" w:ascii="宋体" w:hAnsi="宋体" w:cs="宋体"/>
                <w:color w:val="000000"/>
                <w:kern w:val="0"/>
                <w:sz w:val="18"/>
                <w:szCs w:val="18"/>
              </w:rPr>
              <w:t>部门年度申报绩效目标项目资金额与部门项目预算资金总额的比率，用以反映部门落实财政部门绩效目标申报要求的资金覆盖情况。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覆盖率=实际申报绩效目标项目资金总额/部门项目预算资金总额×100%</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达到目标值得1分，未达到目标值采用完成比率法计分：得分=覆盖率/目标值×1，超过目标值不加分。</w:t>
            </w: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r>
      <w:tr>
        <w:tblPrEx>
          <w:tblLayout w:type="fixed"/>
          <w:tblCellMar>
            <w:top w:w="15" w:type="dxa"/>
            <w:left w:w="15" w:type="dxa"/>
            <w:bottom w:w="15" w:type="dxa"/>
            <w:right w:w="15" w:type="dxa"/>
          </w:tblCellMar>
        </w:tblPrEx>
        <w:trPr>
          <w:trHeight w:val="1403" w:hRule="atLeast"/>
        </w:trPr>
        <w:tc>
          <w:tcPr>
            <w:tcW w:w="4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4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目标管理创新（1分）</w:t>
            </w:r>
          </w:p>
        </w:tc>
        <w:tc>
          <w:tcPr>
            <w:tcW w:w="5752"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宋体" w:hAnsi="宋体" w:cs="宋体"/>
                <w:color w:val="000000"/>
                <w:sz w:val="18"/>
                <w:szCs w:val="18"/>
              </w:rPr>
            </w:pPr>
            <w:r>
              <w:rPr>
                <w:rFonts w:hint="eastAsia" w:ascii="宋体" w:hAnsi="宋体" w:cs="宋体"/>
                <w:color w:val="000000"/>
                <w:kern w:val="0"/>
                <w:sz w:val="18"/>
                <w:szCs w:val="18"/>
              </w:rPr>
              <w:t>部门编报整体绩效目标和申报项目绩效目标的数量超过规定的要求。用以反映和考核部门绩效目标管理创新工作情况。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项目绩效目标创新=部门绩效目标编报数量-按财政部门要求的绩效目标填报数量</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每超过1项得0.1分，满分1分。</w:t>
            </w: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r>
      <w:tr>
        <w:tblPrEx>
          <w:tblLayout w:type="fixed"/>
          <w:tblCellMar>
            <w:top w:w="15" w:type="dxa"/>
            <w:left w:w="15" w:type="dxa"/>
            <w:bottom w:w="15" w:type="dxa"/>
            <w:right w:w="15" w:type="dxa"/>
          </w:tblCellMar>
        </w:tblPrEx>
        <w:trPr>
          <w:trHeight w:val="1967" w:hRule="atLeast"/>
        </w:trPr>
        <w:tc>
          <w:tcPr>
            <w:tcW w:w="4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4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预算配置(10分)</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财政供养人员控制率（3分）</w:t>
            </w:r>
          </w:p>
        </w:tc>
        <w:tc>
          <w:tcPr>
            <w:tcW w:w="5752"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宋体" w:hAnsi="宋体" w:cs="宋体"/>
                <w:color w:val="000000"/>
                <w:sz w:val="18"/>
                <w:szCs w:val="18"/>
              </w:rPr>
            </w:pPr>
            <w:r>
              <w:rPr>
                <w:rFonts w:hint="eastAsia" w:ascii="宋体" w:hAnsi="宋体" w:cs="宋体"/>
                <w:color w:val="000000"/>
                <w:kern w:val="0"/>
                <w:sz w:val="18"/>
                <w:szCs w:val="18"/>
              </w:rPr>
              <w:t>部门本年度实际在职人员数与编制数的比率，用以反映和评价部门对人员成本的控制程度。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在职人员控制率=（在职人员数/编制数）×100%。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在职人员数：部门实际在职人数，以财政部确定的部门决算编制口径为准，由编制部门和人劳部门批复同意的临聘人员除外。</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编制数：机构编制部门核定批复的部门人员编制数。</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目标值≤100%；达到目标值得3分，每超出1人扣0.1分，扣完为止。</w:t>
            </w: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w:t>
            </w:r>
          </w:p>
        </w:tc>
      </w:tr>
      <w:tr>
        <w:tblPrEx>
          <w:tblLayout w:type="fixed"/>
          <w:tblCellMar>
            <w:top w:w="15" w:type="dxa"/>
            <w:left w:w="15" w:type="dxa"/>
            <w:bottom w:w="15" w:type="dxa"/>
            <w:right w:w="15" w:type="dxa"/>
          </w:tblCellMar>
        </w:tblPrEx>
        <w:trPr>
          <w:trHeight w:val="1992" w:hRule="atLeast"/>
        </w:trPr>
        <w:tc>
          <w:tcPr>
            <w:tcW w:w="4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4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“三公经费”变动率（4分）</w:t>
            </w:r>
          </w:p>
        </w:tc>
        <w:tc>
          <w:tcPr>
            <w:tcW w:w="575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部门本年度“三公经费”预算数与上年度“三公经费”预算数的变动比率，用以反映和考核部门对控制重点行政成本的努力程度。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“三公经费”变动率=〔（本年度“三公经费”总额-上年度“三公经费”总额）/上年度“三公经费”总额〕×100%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“三公经费”：年度预算安排的因公出国（境）费、公务车辆购置及运行费和公务招待费。</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目标值≤0；达到目标值得4分，未达到目标值的采用比率扣分法：扣分值=“三公经费”变动率×4×10，变动率达10%以上的扣4分。</w:t>
            </w: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w:t>
            </w:r>
          </w:p>
        </w:tc>
      </w:tr>
    </w:tbl>
    <w:p>
      <w:pPr>
        <w:widowControl/>
        <w:jc w:val="left"/>
        <w:rPr>
          <w:rFonts w:hint="eastAsia" w:eastAsia="黑体"/>
          <w:kern w:val="0"/>
          <w:sz w:val="32"/>
          <w:szCs w:val="32"/>
        </w:rPr>
        <w:sectPr>
          <w:headerReference r:id="rId3" w:type="default"/>
          <w:footerReference r:id="rId4" w:type="default"/>
          <w:pgSz w:w="11906" w:h="16838"/>
          <w:pgMar w:top="1440" w:right="1800" w:bottom="1440" w:left="1800" w:header="851" w:footer="992" w:gutter="0"/>
          <w:cols w:space="720" w:num="1"/>
          <w:docGrid w:type="lines" w:linePitch="312" w:charSpace="0"/>
        </w:sectPr>
      </w:pPr>
    </w:p>
    <w:tbl>
      <w:tblPr>
        <w:tblStyle w:val="5"/>
        <w:tblW w:w="10582" w:type="dxa"/>
        <w:tblInd w:w="-840" w:type="dxa"/>
        <w:tblLayout w:type="fixed"/>
        <w:tblCellMar>
          <w:top w:w="15" w:type="dxa"/>
          <w:left w:w="15" w:type="dxa"/>
          <w:bottom w:w="15" w:type="dxa"/>
          <w:right w:w="15" w:type="dxa"/>
        </w:tblCellMar>
      </w:tblPr>
      <w:tblGrid>
        <w:gridCol w:w="492"/>
        <w:gridCol w:w="444"/>
        <w:gridCol w:w="828"/>
        <w:gridCol w:w="5592"/>
        <w:gridCol w:w="2520"/>
        <w:gridCol w:w="336"/>
        <w:gridCol w:w="370"/>
      </w:tblGrid>
      <w:tr>
        <w:tblPrEx>
          <w:tblLayout w:type="fixed"/>
          <w:tblCellMar>
            <w:top w:w="15" w:type="dxa"/>
            <w:left w:w="15" w:type="dxa"/>
            <w:bottom w:w="15" w:type="dxa"/>
            <w:right w:w="15" w:type="dxa"/>
          </w:tblCellMar>
        </w:tblPrEx>
        <w:trPr>
          <w:trHeight w:val="174" w:hRule="atLeast"/>
        </w:trPr>
        <w:tc>
          <w:tcPr>
            <w:tcW w:w="49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444"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重点支出安排率（3分）</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部门（单位）本年度预算安排的重点项目支出与部门项目总支出的比率，用以反映和考核部门（单位）对履行主要职责或完成重点任务的保障程度。重点支出安排率=（重点项目支出/项目总支出）×100%。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重点项目支出：部门（单位）年度预算安排的，与本部门履职和发展密切相关、具有明显社会和经济影响、党委政府关心或社会比较关注的项目支出总额。具体由被评价部门提出后经对口部门预算管理处审核确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项目总支出：部门（单位）年度预算安排的项目支出总额。</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目标值≥70%；以3分为上限，采用完成比率法计分：得分=重点支出安排率/70%×100%×3，超出目标值不加分。</w:t>
            </w: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w:t>
            </w:r>
          </w:p>
        </w:tc>
      </w:tr>
      <w:tr>
        <w:tblPrEx>
          <w:tblLayout w:type="fixed"/>
          <w:tblCellMar>
            <w:top w:w="15" w:type="dxa"/>
            <w:left w:w="15" w:type="dxa"/>
            <w:bottom w:w="15" w:type="dxa"/>
            <w:right w:w="15" w:type="dxa"/>
          </w:tblCellMar>
        </w:tblPrEx>
        <w:trPr>
          <w:trHeight w:val="241" w:hRule="atLeast"/>
        </w:trPr>
        <w:tc>
          <w:tcPr>
            <w:tcW w:w="4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过程(50分)</w:t>
            </w:r>
          </w:p>
        </w:tc>
        <w:tc>
          <w:tcPr>
            <w:tcW w:w="4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预算执行(25分)</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预算完成率（2分）</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通过对部门本年度预算完成数与预算数的比较，反映和评价部门预算的完成程度。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预算完成率=（预算完成数/预算数）×100%</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目标值≥100%；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达到目标值的得2分；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100%＞结果≥90%，得2分；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90%＞结果≥80%，得1分；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结果＜80%得0分。</w:t>
            </w: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w:t>
            </w:r>
          </w:p>
        </w:tc>
      </w:tr>
      <w:tr>
        <w:tblPrEx>
          <w:tblLayout w:type="fixed"/>
          <w:tblCellMar>
            <w:top w:w="15" w:type="dxa"/>
            <w:left w:w="15" w:type="dxa"/>
            <w:bottom w:w="15" w:type="dxa"/>
            <w:right w:w="15" w:type="dxa"/>
          </w:tblCellMar>
        </w:tblPrEx>
        <w:trPr>
          <w:trHeight w:val="140" w:hRule="atLeast"/>
        </w:trPr>
        <w:tc>
          <w:tcPr>
            <w:tcW w:w="4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4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预算调整率（2分）</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部门本年度预算调整数与预算数的比率，用以反映和评价部门预算的调整程度。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预算调整率=（预算调整数/预算数）×100%。</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目标值为≤10%；达到目标值得2分，未达到目标值的每增加0.1个百分点扣0.1分，扣完为止。</w:t>
            </w: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w:t>
            </w:r>
          </w:p>
        </w:tc>
      </w:tr>
      <w:tr>
        <w:tblPrEx>
          <w:tblLayout w:type="fixed"/>
          <w:tblCellMar>
            <w:top w:w="15" w:type="dxa"/>
            <w:left w:w="15" w:type="dxa"/>
            <w:bottom w:w="15" w:type="dxa"/>
            <w:right w:w="15" w:type="dxa"/>
          </w:tblCellMar>
        </w:tblPrEx>
        <w:trPr>
          <w:trHeight w:val="342" w:hRule="atLeast"/>
        </w:trPr>
        <w:tc>
          <w:tcPr>
            <w:tcW w:w="4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4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支付进度率（6分）</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部门年度支付数与年度预算（调整）数的比率，用以反映和评价部门预算执行的及时和均衡程度。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半年支付进度=部门上半年实际支出÷（上年结余结转+本年部门预算安排+上半年执行中追加追减）×100%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全年支付进度=部门全年实际支出÷（上年结余结转+本年部门预算安排+全年执行中追加追减）×100%</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半年进度：结果≥50%，得2分；50%＞结果≥40%，得1分；结果＜40%，得0分。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全年进度：结果≥100%，得4分；100%＞结果≥95%，得3分；95%＞结果≥90%，得2分；90%＞结果≥85%，得2分；结果＜85%，得0分。</w:t>
            </w: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w:t>
            </w:r>
          </w:p>
        </w:tc>
      </w:tr>
      <w:tr>
        <w:tblPrEx>
          <w:tblLayout w:type="fixed"/>
          <w:tblCellMar>
            <w:top w:w="15" w:type="dxa"/>
            <w:left w:w="15" w:type="dxa"/>
            <w:bottom w:w="15" w:type="dxa"/>
            <w:right w:w="15" w:type="dxa"/>
          </w:tblCellMar>
        </w:tblPrEx>
        <w:trPr>
          <w:trHeight w:val="140" w:hRule="atLeast"/>
        </w:trPr>
        <w:tc>
          <w:tcPr>
            <w:tcW w:w="4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4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结转结余率（3分）</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通过对部门本年度结转结余总额与支出预算数的比较，反映和评价部门对本年度结转结余资金的实际控制程度。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结转结余率=（结转结余总额/支出预算数）×100%。</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目标值为0；达到目标值得3分，未达到目标值的每增加0.1个百分点扣0.1分，扣完为止。</w:t>
            </w: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w:t>
            </w:r>
          </w:p>
        </w:tc>
      </w:tr>
      <w:tr>
        <w:tblPrEx>
          <w:tblLayout w:type="fixed"/>
          <w:tblCellMar>
            <w:top w:w="15" w:type="dxa"/>
            <w:left w:w="15" w:type="dxa"/>
            <w:bottom w:w="15" w:type="dxa"/>
            <w:right w:w="15" w:type="dxa"/>
          </w:tblCellMar>
        </w:tblPrEx>
        <w:trPr>
          <w:trHeight w:val="207" w:hRule="atLeast"/>
        </w:trPr>
        <w:tc>
          <w:tcPr>
            <w:tcW w:w="4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4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结转结余变动率(3分）</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部门本年度结转结余资金总额与上年度结转结余资金总额的变动比率，用以反映和考核部门对控制结转结余资金的努力程度。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结转结余变动率=〔（本年度累计结转结余资金总额-上年度累计结转结余资金总额）/上年度累计结转结余资金总额〕×100%。</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目标值为≤0%；达到目标值得3分，未达到目标值的采用比率扣分法：扣分值=结转结余变动率×3×10，变动率达10%以上的扣3分。</w:t>
            </w: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w:t>
            </w:r>
          </w:p>
        </w:tc>
      </w:tr>
      <w:tr>
        <w:tblPrEx>
          <w:tblLayout w:type="fixed"/>
          <w:tblCellMar>
            <w:top w:w="15" w:type="dxa"/>
            <w:left w:w="15" w:type="dxa"/>
            <w:bottom w:w="15" w:type="dxa"/>
            <w:right w:w="15" w:type="dxa"/>
          </w:tblCellMar>
        </w:tblPrEx>
        <w:trPr>
          <w:trHeight w:val="140" w:hRule="atLeast"/>
        </w:trPr>
        <w:tc>
          <w:tcPr>
            <w:tcW w:w="4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4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公用经费控制率（3分）</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通过对部门本年度实际支出的公用经费总额与预算安排的公用经费总额的比率，反映和评价部门对机构运转成本的实际控制程度。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公用经费控制率=（实际支出公用经费总额/预算安排公用经费总额）×100%。</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目标值为≤100%；达到目标值得3分，未达到目标值的每增加0.1个百分点扣0.1分，扣完为止。</w:t>
            </w: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w:t>
            </w:r>
          </w:p>
        </w:tc>
      </w:tr>
      <w:tr>
        <w:tblPrEx>
          <w:tblLayout w:type="fixed"/>
          <w:tblCellMar>
            <w:top w:w="15" w:type="dxa"/>
            <w:left w:w="15" w:type="dxa"/>
            <w:bottom w:w="15" w:type="dxa"/>
            <w:right w:w="15" w:type="dxa"/>
          </w:tblCellMar>
        </w:tblPrEx>
        <w:trPr>
          <w:trHeight w:val="140" w:hRule="atLeast"/>
        </w:trPr>
        <w:tc>
          <w:tcPr>
            <w:tcW w:w="4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4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“三公经费”控制率（3分）</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部门（单位）本年度“三公经费”实际支出数与预算安排数的比率，用以反映和考核部门（单位）对“三公经费”的实际控制程度。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“三公经费”控制率=（“三公经费”实际支出/“三公经费”预算安排数）×100%</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目标值为≤100%；达到目标值得3分，未达到目标值的每增加0.1个百分点扣0.1分，扣完为止。</w:t>
            </w: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w:t>
            </w:r>
          </w:p>
        </w:tc>
      </w:tr>
      <w:tr>
        <w:tblPrEx>
          <w:tblLayout w:type="fixed"/>
          <w:tblCellMar>
            <w:top w:w="15" w:type="dxa"/>
            <w:left w:w="15" w:type="dxa"/>
            <w:bottom w:w="15" w:type="dxa"/>
            <w:right w:w="15" w:type="dxa"/>
          </w:tblCellMar>
        </w:tblPrEx>
        <w:trPr>
          <w:trHeight w:val="90" w:hRule="atLeast"/>
        </w:trPr>
        <w:tc>
          <w:tcPr>
            <w:tcW w:w="4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4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政府采购执行率（3分）</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通过对部门本年度实际政府采购预算项目个数与政府采购预算项目个数的比较，反映和评价部门政府采购预算执行情况。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政府采购执行率=（实际政府采购预算项目个数/政府采购预算项目个数）×100%。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政府采购项目中非预算内安排的项目除外。</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目标值为100%；以3分为上限，采用完成比率法计分：得分=政府采购执行率×3。</w:t>
            </w: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w:t>
            </w:r>
          </w:p>
        </w:tc>
      </w:tr>
      <w:tr>
        <w:tblPrEx>
          <w:tblLayout w:type="fixed"/>
          <w:tblCellMar>
            <w:top w:w="15" w:type="dxa"/>
            <w:left w:w="15" w:type="dxa"/>
            <w:bottom w:w="15" w:type="dxa"/>
            <w:right w:w="15" w:type="dxa"/>
          </w:tblCellMar>
        </w:tblPrEx>
        <w:trPr>
          <w:trHeight w:val="275" w:hRule="atLeast"/>
        </w:trPr>
        <w:tc>
          <w:tcPr>
            <w:tcW w:w="4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4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预算管理（15分）</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管理制度健全性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（2分）</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部门为加强预算管理，规范财务行为而制定的管理制度是否健全完整，用以反映和考核部门预算管理制度对完成主要职责或促进事业发展的保障情况。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评价要点：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1．是否已制定或具有预算资金管理办法、内部财务管理制度、会计核算制度等管理制度；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2.相关管理制度是否合法、合规、完整；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3.相关管理制度是否得到有效执行。</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全部符合（2分）；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符合其中两项（1分）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符合其中一项及以下（0分）。</w:t>
            </w: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r>
      <w:tr>
        <w:tblPrEx>
          <w:tblLayout w:type="fixed"/>
          <w:tblCellMar>
            <w:top w:w="15" w:type="dxa"/>
            <w:left w:w="15" w:type="dxa"/>
            <w:bottom w:w="15" w:type="dxa"/>
            <w:right w:w="15" w:type="dxa"/>
          </w:tblCellMar>
        </w:tblPrEx>
        <w:trPr>
          <w:trHeight w:val="342" w:hRule="atLeast"/>
        </w:trPr>
        <w:tc>
          <w:tcPr>
            <w:tcW w:w="4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4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资金使用合规性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（6分）</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部门使用预算资金是否符合相关的预算财务管理制度的规定，反映和评价部门预算资金的规范运行情况。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评价要点：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1.符合国家财经法规和财务管理制度规定以及有关部门资金管理办法的规定；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2.资金的拨付有完整的审批过程和手续；</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3.项目的重大开支经过评估论证；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4.符合部门预算批复的用途；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5.不存在截留情况；6.不存在挤占情况；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7.不存在挪用情况；8.不存在虚列支出情况。</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全部符合（6分）；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符合其中七项（5分）；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符合其中六项（3分）；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符合其中五项（2分）；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符合其中四项及以下（0分）。</w:t>
            </w: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w:t>
            </w:r>
          </w:p>
        </w:tc>
      </w:tr>
      <w:tr>
        <w:tblPrEx>
          <w:tblLayout w:type="fixed"/>
          <w:tblCellMar>
            <w:top w:w="15" w:type="dxa"/>
            <w:left w:w="15" w:type="dxa"/>
            <w:bottom w:w="15" w:type="dxa"/>
            <w:right w:w="15" w:type="dxa"/>
          </w:tblCellMar>
        </w:tblPrEx>
        <w:trPr>
          <w:trHeight w:val="275" w:hRule="atLeast"/>
        </w:trPr>
        <w:tc>
          <w:tcPr>
            <w:tcW w:w="4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4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预决算信息公开性（3分）</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部门是否按照政府信息公开有关规定公开相关预决算信息，用以反映和评价部门预决算管理的公开透明情况。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预决算信息是指与部门预算、执行、决算、监督、绩效等管理相关的信息。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评价要点：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1.公开预决算信息；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2.按规定内容公开预决算信息；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3.按规定时限公开预决算信息。</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全部符合（3分）；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符合其中两项（2分）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符合其中一项及以下（0分）。</w:t>
            </w: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w:t>
            </w:r>
          </w:p>
        </w:tc>
      </w:tr>
      <w:tr>
        <w:tblPrEx>
          <w:tblLayout w:type="fixed"/>
          <w:tblCellMar>
            <w:top w:w="15" w:type="dxa"/>
            <w:left w:w="15" w:type="dxa"/>
            <w:bottom w:w="15" w:type="dxa"/>
            <w:right w:w="15" w:type="dxa"/>
          </w:tblCellMar>
        </w:tblPrEx>
        <w:trPr>
          <w:trHeight w:val="207" w:hRule="atLeast"/>
        </w:trPr>
        <w:tc>
          <w:tcPr>
            <w:tcW w:w="4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4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基础信息完善性（4分）</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部门基础信息是否完善，用以反映和评价基础信息对预算管理工作的支撑情况。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评价要点：1.基本财务管理制度健全；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2.基础数据信息和会计信息资料真实；</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3.基础数据信息和会计信息资料完整；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4.基础数据信息和会计信息资料准确。</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符合全部四项（4分）；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符合其中三项（2分）；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符合其中两项（1分）；符合其中一项及以下（0分）。</w:t>
            </w: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w:t>
            </w:r>
          </w:p>
        </w:tc>
      </w:tr>
      <w:tr>
        <w:tblPrEx>
          <w:tblLayout w:type="fixed"/>
          <w:tblCellMar>
            <w:top w:w="15" w:type="dxa"/>
            <w:left w:w="15" w:type="dxa"/>
            <w:bottom w:w="15" w:type="dxa"/>
            <w:right w:w="15" w:type="dxa"/>
          </w:tblCellMar>
        </w:tblPrEx>
        <w:trPr>
          <w:trHeight w:val="241" w:hRule="atLeast"/>
        </w:trPr>
        <w:tc>
          <w:tcPr>
            <w:tcW w:w="4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4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资产管理（10分）</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管理制度健全性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（4分）</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部门为加强资产管理、规范资产管理行为而制定的管理制度是否健全完整，用以反映和考核部门资产管理制度对完成主要职责或促进社会发展的保障情况。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评价要点：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1.是否已制定或具有资产管理制度；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2.相关资金管理制度是否合法、合规、完整；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3.相关资产管理制度是否得到有效执行。</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全部符合（4分）；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符合其中两项（2分）；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符合其中一项（1分）；        都不符合（0分）。</w:t>
            </w: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w:t>
            </w:r>
          </w:p>
        </w:tc>
      </w:tr>
      <w:tr>
        <w:tblPrEx>
          <w:tblLayout w:type="fixed"/>
          <w:tblCellMar>
            <w:top w:w="15" w:type="dxa"/>
            <w:left w:w="15" w:type="dxa"/>
            <w:bottom w:w="15" w:type="dxa"/>
            <w:right w:w="15" w:type="dxa"/>
          </w:tblCellMar>
        </w:tblPrEx>
        <w:trPr>
          <w:trHeight w:val="207" w:hRule="atLeast"/>
        </w:trPr>
        <w:tc>
          <w:tcPr>
            <w:tcW w:w="4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4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资产管理完全性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（3分）</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部门的资产是否保存完整、使用合规、收入及时足额上缴，用以反映和评价部门资产运行情况。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评价要点：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1.资产保存完整；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2.资产账务管理是否合规，帐实相符；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3.资产有偿使用及处置收入及时足额上缴。</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符合全部三项（3分）；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符合其中两项（2分）；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符合其中一项（1分）；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符合零项（0分）。</w:t>
            </w: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w:t>
            </w:r>
          </w:p>
        </w:tc>
      </w:tr>
      <w:tr>
        <w:tblPrEx>
          <w:tblLayout w:type="fixed"/>
          <w:tblCellMar>
            <w:top w:w="15" w:type="dxa"/>
            <w:left w:w="15" w:type="dxa"/>
            <w:bottom w:w="15" w:type="dxa"/>
            <w:right w:w="15" w:type="dxa"/>
          </w:tblCellMar>
        </w:tblPrEx>
        <w:trPr>
          <w:trHeight w:val="174" w:hRule="atLeast"/>
        </w:trPr>
        <w:tc>
          <w:tcPr>
            <w:tcW w:w="4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4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固定资产利用率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（3分）</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部门实际在用固定资产总额与所有固定资产总额的比率，用以反映和评价部门固定资产使用效率。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固定资产利用率=（实际在用固定资产总额/所有固定资产总额）×100%。</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目标值为80%；以3分为上限，采用完成比率法计分：得分=固定资产利用率/80%×100%×3，超出目标值不加分。</w:t>
            </w: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w:t>
            </w:r>
          </w:p>
        </w:tc>
      </w:tr>
      <w:tr>
        <w:tblPrEx>
          <w:tblLayout w:type="fixed"/>
          <w:tblCellMar>
            <w:top w:w="15" w:type="dxa"/>
            <w:left w:w="15" w:type="dxa"/>
            <w:bottom w:w="15" w:type="dxa"/>
            <w:right w:w="15" w:type="dxa"/>
          </w:tblCellMar>
        </w:tblPrEx>
        <w:trPr>
          <w:trHeight w:val="309" w:hRule="atLeast"/>
        </w:trPr>
        <w:tc>
          <w:tcPr>
            <w:tcW w:w="4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产出(15分)</w:t>
            </w:r>
          </w:p>
        </w:tc>
        <w:tc>
          <w:tcPr>
            <w:tcW w:w="4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职责履行（15分）</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项目实际完成率（4分）</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部门履行职责而实际完成的项目数与计划完成的项目数的比率，用以反映和评价部门履职任务目标的实现程度。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项目实际完成率=（实际完成项目数/计划完成项目数）×100%。</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目标值为100%；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达到目标值得4分；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100%＞结果≥95%，得3分；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95%＞结果≥90%，得2分；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90%＞结果≥85%，得1分；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结果＜85%得0分。</w:t>
            </w: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w:t>
            </w:r>
          </w:p>
        </w:tc>
      </w:tr>
      <w:tr>
        <w:tblPrEx>
          <w:tblLayout w:type="fixed"/>
          <w:tblCellMar>
            <w:top w:w="15" w:type="dxa"/>
            <w:left w:w="15" w:type="dxa"/>
            <w:bottom w:w="15" w:type="dxa"/>
            <w:right w:w="15" w:type="dxa"/>
          </w:tblCellMar>
        </w:tblPrEx>
        <w:trPr>
          <w:trHeight w:val="174" w:hRule="atLeast"/>
        </w:trPr>
        <w:tc>
          <w:tcPr>
            <w:tcW w:w="4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4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项目质量达标率（4分）</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部门已完成项目中质量达标项目个数占已完成项目个数的比率,用以反映和评价部门履职质量目标的实现程度。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项目质量达标率=（已完成项目中质量达标项目个数/已完成项目个数）×100%。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项目质量达标是指项目决算验收合格。</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目标值100%；以4分为上限，采用完成比率法计分：得分=项目质量达标率×4，≤95%的扣4分。</w:t>
            </w: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w:t>
            </w:r>
          </w:p>
        </w:tc>
      </w:tr>
      <w:tr>
        <w:tblPrEx>
          <w:tblLayout w:type="fixed"/>
          <w:tblCellMar>
            <w:top w:w="15" w:type="dxa"/>
            <w:left w:w="15" w:type="dxa"/>
            <w:bottom w:w="15" w:type="dxa"/>
            <w:right w:w="15" w:type="dxa"/>
          </w:tblCellMar>
        </w:tblPrEx>
        <w:trPr>
          <w:trHeight w:val="140" w:hRule="atLeast"/>
        </w:trPr>
        <w:tc>
          <w:tcPr>
            <w:tcW w:w="4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4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重点工作办结率（4分）</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部门年度重点工作实际完成数与交办或下达数的比率，用以反映部门对重点工作的办理落实程度。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重点工作办结率=（重点工作实际完成数/交办或下达数）×100%。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重点工作是指党委、政府、人大、相关部门交办或下达的工作任务。</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目标值100%；以4分为上限，采用完成比率法计分：得分=重点工作办结率×4，≤90%的扣4分。</w:t>
            </w: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w:t>
            </w:r>
          </w:p>
        </w:tc>
      </w:tr>
      <w:tr>
        <w:tblPrEx>
          <w:tblLayout w:type="fixed"/>
          <w:tblCellMar>
            <w:top w:w="15" w:type="dxa"/>
            <w:left w:w="15" w:type="dxa"/>
            <w:bottom w:w="15" w:type="dxa"/>
            <w:right w:w="15" w:type="dxa"/>
          </w:tblCellMar>
        </w:tblPrEx>
        <w:trPr>
          <w:trHeight w:val="174" w:hRule="atLeast"/>
        </w:trPr>
        <w:tc>
          <w:tcPr>
            <w:tcW w:w="4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4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部门绩效自评项目占比率（3分）</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部门自评项目在所有项目中所占的份额，反映和评价部门对项目自评的重视程度。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占比率=(自评项目资金量/项目支出资金量)×100%。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部门支出项目绩效自评范围：本年度列入本级财政预算安排的项目。</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达到目标值得3分，未达到目标值采用完成比率法计分：得分=占比率/目标值×3，超过目标值不加分。</w:t>
            </w: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w:t>
            </w:r>
          </w:p>
        </w:tc>
      </w:tr>
      <w:tr>
        <w:tblPrEx>
          <w:tblLayout w:type="fixed"/>
          <w:tblCellMar>
            <w:top w:w="15" w:type="dxa"/>
            <w:left w:w="15" w:type="dxa"/>
            <w:bottom w:w="15" w:type="dxa"/>
            <w:right w:w="15" w:type="dxa"/>
          </w:tblCellMar>
        </w:tblPrEx>
        <w:trPr>
          <w:trHeight w:val="106" w:hRule="atLeast"/>
        </w:trPr>
        <w:tc>
          <w:tcPr>
            <w:tcW w:w="4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效果（20分）</w:t>
            </w:r>
          </w:p>
        </w:tc>
        <w:tc>
          <w:tcPr>
            <w:tcW w:w="4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履职效益（20分）</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经济效益（5分）</w:t>
            </w:r>
          </w:p>
        </w:tc>
        <w:tc>
          <w:tcPr>
            <w:tcW w:w="55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此三项指标为设置部门整体支出绩效评价指标时必须考虑的共性要素，可根据部门实际并结合部门整体支出绩效目标设立情况有选择的进行设置，并将其细化为相应的个性化指标。建议部门（单位）根据2013年专项资金绩效目标，汇总提炼部门整体支出绩效评价指标。</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该单位为事业单位，因该单位工作内容与工作性质，经济效益考核不适用</w:t>
            </w: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r>
      <w:tr>
        <w:tblPrEx>
          <w:tblLayout w:type="fixed"/>
          <w:tblCellMar>
            <w:top w:w="15" w:type="dxa"/>
            <w:left w:w="15" w:type="dxa"/>
            <w:bottom w:w="15" w:type="dxa"/>
            <w:right w:w="15" w:type="dxa"/>
          </w:tblCellMar>
        </w:tblPrEx>
        <w:trPr>
          <w:trHeight w:val="106" w:hRule="atLeast"/>
        </w:trPr>
        <w:tc>
          <w:tcPr>
            <w:tcW w:w="4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4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社会效益（5分)</w:t>
            </w:r>
          </w:p>
        </w:tc>
        <w:tc>
          <w:tcPr>
            <w:tcW w:w="55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该单位为事业单位，因该单位工作内容与工作性质，主要是社会效益考核</w:t>
            </w: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r>
      <w:tr>
        <w:tblPrEx>
          <w:tblLayout w:type="fixed"/>
          <w:tblCellMar>
            <w:top w:w="15" w:type="dxa"/>
            <w:left w:w="15" w:type="dxa"/>
            <w:bottom w:w="15" w:type="dxa"/>
            <w:right w:w="15" w:type="dxa"/>
          </w:tblCellMar>
        </w:tblPrEx>
        <w:trPr>
          <w:trHeight w:val="106" w:hRule="atLeast"/>
        </w:trPr>
        <w:tc>
          <w:tcPr>
            <w:tcW w:w="4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4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生态效益(5分)</w:t>
            </w:r>
          </w:p>
        </w:tc>
        <w:tc>
          <w:tcPr>
            <w:tcW w:w="55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该单位为事业单位，因该单位工作内容与工作性质，生态效益考核不适用</w:t>
            </w: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r>
      <w:tr>
        <w:tblPrEx>
          <w:tblLayout w:type="fixed"/>
          <w:tblCellMar>
            <w:top w:w="15" w:type="dxa"/>
            <w:left w:w="15" w:type="dxa"/>
            <w:bottom w:w="15" w:type="dxa"/>
            <w:right w:w="15" w:type="dxa"/>
          </w:tblCellMar>
        </w:tblPrEx>
        <w:trPr>
          <w:trHeight w:val="207" w:hRule="atLeast"/>
        </w:trPr>
        <w:tc>
          <w:tcPr>
            <w:tcW w:w="4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4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社会公众或服务对象满意度（5分）</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通过问卷调查了解社会公众对部门履职效果、解决民众关心的热点问题、厉行节约等方面的满意程度，反映和评价部门支出所带来的社会效益。</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按照满意度调查的优秀、良好、合格、不合格给予该项指标打分：优秀（5分）；良好（3分）；合格（1分）；不合格（0分）。</w:t>
            </w: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90" w:hRule="atLeast"/>
        </w:trPr>
        <w:tc>
          <w:tcPr>
            <w:tcW w:w="9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100分</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color w:val="000000"/>
                <w:sz w:val="18"/>
                <w:szCs w:val="18"/>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33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96</w:t>
            </w:r>
          </w:p>
        </w:tc>
      </w:tr>
    </w:tbl>
    <w:p>
      <w:pPr>
        <w:widowControl/>
        <w:jc w:val="left"/>
        <w:rPr>
          <w:rFonts w:ascii="宋体" w:hAnsi="宋体" w:cs="宋体"/>
          <w:kern w:val="0"/>
          <w:sz w:val="24"/>
        </w:rPr>
      </w:pPr>
      <w:r>
        <w:rPr>
          <w:rFonts w:hint="eastAsia" w:ascii="宋体" w:hAnsi="宋体" w:cs="宋体"/>
          <w:szCs w:val="21"/>
        </w:rPr>
        <w:t>注：该指标体系评分表参照财政部《部门整体支出绩效评价共性指标体系框架》制定。</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QGZR60BAABK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s8d6cPscakh4Bpabj2Q84c/RGdWfSgwOYvyiEY&#10;xz4fzr2VQyIiP1oulssKQwJj0wVx2MvzADHdSW9JNhoKOLzSU77/HNMpdUrJ1Zy/1cagn9fG/eVA&#10;zOxhmfuJY7bSsBlG4hvfHlBPj3NvqMPFpMTcO2xrXpHJgMnYTMYugN52ZYdyvRiudglJFG65wgl2&#10;LIwDK+rG5cob8fpesl5+gfUz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UBmUetAQAASgMA&#10;AA4AAAAAAAAAAQAgAAAAHgEAAGRycy9lMm9Eb2MueG1sUEsFBgAAAAAGAAYAWQEAAD0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3522A"/>
    <w:rsid w:val="11B3522A"/>
    <w:rsid w:val="33754FC8"/>
    <w:rsid w:val="5C1D6BC3"/>
    <w:rsid w:val="6F657026"/>
    <w:rsid w:val="78EF62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0"/>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unhideWhenUsed/>
    <w:uiPriority w:val="99"/>
    <w:pPr>
      <w:adjustRightInd w:val="0"/>
      <w:snapToGrid w:val="0"/>
      <w:spacing w:line="560" w:lineRule="atLeast"/>
      <w:ind w:firstLine="640" w:firstLineChars="200"/>
    </w:pPr>
    <w:rPr>
      <w:kern w:val="0"/>
      <w:szCs w:val="28"/>
    </w:rPr>
  </w:style>
  <w:style w:type="paragraph" w:styleId="3">
    <w:name w:val="footer"/>
    <w:basedOn w:val="1"/>
    <w:unhideWhenUsed/>
    <w:uiPriority w:val="0"/>
    <w:pPr>
      <w:tabs>
        <w:tab w:val="center" w:pos="4153"/>
        <w:tab w:val="right" w:pos="8306"/>
      </w:tabs>
      <w:snapToGrid w:val="0"/>
      <w:jc w:val="left"/>
    </w:pPr>
    <w:rPr>
      <w:sz w:val="18"/>
    </w:rPr>
  </w:style>
  <w:style w:type="paragraph" w:styleId="4">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page number"/>
    <w:basedOn w:val="6"/>
    <w:unhideWhenUsed/>
    <w:uiPriority w:val="99"/>
  </w:style>
  <w:style w:type="character" w:styleId="8">
    <w:name w:val="FollowedHyperlink"/>
    <w:basedOn w:val="6"/>
    <w:unhideWhenUsed/>
    <w:uiPriority w:val="99"/>
    <w:rPr>
      <w:color w:val="800080"/>
      <w:u w:val="single"/>
    </w:rPr>
  </w:style>
  <w:style w:type="character" w:styleId="9">
    <w:name w:val="Hyperlink"/>
    <w:basedOn w:val="6"/>
    <w:unhideWhenUsed/>
    <w:uiPriority w:val="99"/>
    <w:rPr>
      <w:color w:val="0000FF"/>
      <w:u w:val="single"/>
    </w:rPr>
  </w:style>
  <w:style w:type="character" w:customStyle="1" w:styleId="10">
    <w:name w:val="font21"/>
    <w:basedOn w:val="6"/>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1150;&#20844;&#23460;\&#21333;&#20301;&#36130;&#21153;\&#36130;&#25919;&#25903;&#20986;&#32489;&#25928;&#35780;&#20215;2018&#24180;\2018&#24180;&#24230;&#37096;&#38376;&#25972;&#20307;&#25903;&#20986;&#32489;&#25928;&#35780;&#20215;&#25351;&#26631;&#20307;&#31995;&#35780;&#20998;&#349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2018年度部门整体支出绩效评价指标体系评分表.dotx</Template>
  <Pages>4</Pages>
  <Words>4889</Words>
  <Characters>5123</Characters>
  <Lines>81</Lines>
  <Paragraphs>22</Paragraphs>
  <TotalTime>8</TotalTime>
  <ScaleCrop>false</ScaleCrop>
  <LinksUpToDate>false</LinksUpToDate>
  <CharactersWithSpaces>5133</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2019-08-04T07:55:00Z</dcterms:created>
  <dc:creator>葳蕤</dc:creator>
  <cp:lastModifiedBy>葳蕤</cp:lastModifiedBy>
  <dcterms:modified xsi:type="dcterms:W3CDTF">2019-08-04T07:56:02Z</dcterms:modified>
  <dc:title>江华瑶族自治县财政局关于开展政府购买服务第三方绩效评价工作的实施意见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