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黑体" w:hAnsi="FangSong_GB2312" w:eastAsia="黑体" w:cs="FangSong_GB2312"/>
          <w:b/>
          <w:bCs/>
          <w:sz w:val="24"/>
          <w:szCs w:val="24"/>
          <w:lang w:val="en-US" w:eastAsia="zh-CN"/>
        </w:rPr>
      </w:pPr>
      <w:r>
        <w:rPr>
          <w:rFonts w:hint="eastAsia" w:ascii="黑体" w:hAnsi="FangSong_GB2312" w:eastAsia="黑体" w:cs="FangSong_GB2312"/>
          <w:b/>
          <w:bCs/>
          <w:sz w:val="24"/>
          <w:szCs w:val="24"/>
          <w:lang w:val="en-US" w:eastAsia="zh-CN"/>
        </w:rPr>
        <w:t>附2-1</w:t>
      </w:r>
    </w:p>
    <w:p>
      <w:pPr>
        <w:adjustRightInd w:val="0"/>
        <w:snapToGrid w:val="0"/>
        <w:spacing w:before="50" w:beforeLines="0" w:line="360" w:lineRule="auto"/>
        <w:jc w:val="center"/>
        <w:rPr>
          <w:rFonts w:ascii="宋体" w:hAnsi="宋体" w:cs="宋体"/>
          <w:b/>
          <w:bCs/>
          <w:color w:val="333333"/>
          <w:sz w:val="32"/>
          <w:szCs w:val="32"/>
        </w:rPr>
      </w:pPr>
      <w:bookmarkStart w:id="0" w:name="_GoBack"/>
      <w:r>
        <w:rPr>
          <w:rFonts w:hint="eastAsia" w:ascii="宋体" w:hAnsi="宋体" w:cs="宋体"/>
          <w:b/>
          <w:bCs/>
          <w:color w:val="333333"/>
          <w:sz w:val="32"/>
          <w:szCs w:val="32"/>
          <w:lang w:val="en-US" w:eastAsia="zh-CN"/>
        </w:rPr>
        <w:t>2018年度项目（专项）</w:t>
      </w:r>
      <w:r>
        <w:rPr>
          <w:rFonts w:hint="eastAsia" w:ascii="宋体" w:hAnsi="宋体" w:cs="宋体"/>
          <w:b/>
          <w:bCs/>
          <w:color w:val="333333"/>
          <w:sz w:val="32"/>
          <w:szCs w:val="32"/>
        </w:rPr>
        <w:t>支出绩效评价指标体系评分表</w:t>
      </w:r>
    </w:p>
    <w:bookmarkEnd w:id="0"/>
    <w:tbl>
      <w:tblPr>
        <w:tblStyle w:val="5"/>
        <w:tblpPr w:leftFromText="180" w:rightFromText="180" w:vertAnchor="text" w:horzAnchor="page" w:tblpX="780" w:tblpY="680"/>
        <w:tblOverlap w:val="never"/>
        <w:tblW w:w="104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64"/>
        <w:gridCol w:w="708"/>
        <w:gridCol w:w="1164"/>
        <w:gridCol w:w="540"/>
        <w:gridCol w:w="3288"/>
        <w:gridCol w:w="3395"/>
        <w:gridCol w:w="385"/>
        <w:gridCol w:w="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7"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b/>
                <w:bCs/>
                <w:color w:val="333333"/>
                <w:sz w:val="18"/>
                <w:szCs w:val="18"/>
              </w:rPr>
            </w:pPr>
            <w:r>
              <w:rPr>
                <w:rFonts w:hint="eastAsia" w:ascii="宋体" w:hAnsi="宋体" w:cs="宋体"/>
                <w:b/>
                <w:bCs/>
                <w:color w:val="333333"/>
                <w:sz w:val="18"/>
                <w:szCs w:val="18"/>
              </w:rPr>
              <w:t>一级指标</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b/>
                <w:bCs/>
                <w:color w:val="333333"/>
                <w:sz w:val="18"/>
                <w:szCs w:val="18"/>
              </w:rPr>
            </w:pPr>
            <w:r>
              <w:rPr>
                <w:rFonts w:hint="eastAsia" w:ascii="宋体" w:hAnsi="宋体" w:cs="宋体"/>
                <w:b/>
                <w:bCs/>
                <w:color w:val="333333"/>
                <w:sz w:val="18"/>
                <w:szCs w:val="18"/>
              </w:rPr>
              <w:t>二级指标</w:t>
            </w:r>
          </w:p>
        </w:tc>
        <w:tc>
          <w:tcPr>
            <w:tcW w:w="4992"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b/>
                <w:bCs/>
                <w:color w:val="333333"/>
                <w:sz w:val="18"/>
                <w:szCs w:val="18"/>
              </w:rPr>
            </w:pPr>
            <w:r>
              <w:rPr>
                <w:rFonts w:hint="eastAsia" w:ascii="宋体" w:hAnsi="宋体" w:cs="宋体"/>
                <w:b/>
                <w:bCs/>
                <w:color w:val="333333"/>
                <w:sz w:val="18"/>
                <w:szCs w:val="18"/>
              </w:rPr>
              <w:t>三级指标</w:t>
            </w:r>
          </w:p>
        </w:tc>
        <w:tc>
          <w:tcPr>
            <w:tcW w:w="3395"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b/>
                <w:bCs/>
                <w:color w:val="333333"/>
                <w:sz w:val="18"/>
                <w:szCs w:val="18"/>
              </w:rPr>
            </w:pPr>
            <w:r>
              <w:rPr>
                <w:rFonts w:hint="eastAsia" w:ascii="宋体" w:hAnsi="宋体" w:cs="宋体"/>
                <w:b/>
                <w:bCs/>
                <w:color w:val="333333"/>
                <w:sz w:val="18"/>
                <w:szCs w:val="18"/>
              </w:rPr>
              <w:t>评分标准</w:t>
            </w:r>
          </w:p>
        </w:tc>
        <w:tc>
          <w:tcPr>
            <w:tcW w:w="385"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b/>
                <w:bCs/>
                <w:color w:val="333333"/>
                <w:sz w:val="18"/>
                <w:szCs w:val="18"/>
              </w:rPr>
            </w:pPr>
            <w:r>
              <w:rPr>
                <w:rFonts w:hint="eastAsia" w:ascii="宋体" w:hAnsi="宋体" w:cs="宋体"/>
                <w:b/>
                <w:bCs/>
                <w:color w:val="333333"/>
                <w:sz w:val="18"/>
                <w:szCs w:val="18"/>
              </w:rPr>
              <w:t>备注</w:t>
            </w:r>
          </w:p>
        </w:tc>
        <w:tc>
          <w:tcPr>
            <w:tcW w:w="4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b/>
                <w:bCs/>
                <w:color w:val="333333"/>
                <w:sz w:val="18"/>
                <w:szCs w:val="18"/>
              </w:rPr>
            </w:pPr>
            <w:r>
              <w:rPr>
                <w:rFonts w:hint="eastAsia" w:ascii="宋体" w:hAnsi="宋体" w:cs="宋体"/>
                <w:b/>
                <w:bCs/>
                <w:color w:val="333333"/>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7"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b/>
                <w:bCs/>
                <w:color w:val="333333"/>
                <w:sz w:val="18"/>
                <w:szCs w:val="18"/>
              </w:rPr>
            </w:pPr>
            <w:r>
              <w:rPr>
                <w:rFonts w:hint="eastAsia" w:ascii="宋体" w:hAnsi="宋体" w:cs="宋体"/>
                <w:b/>
                <w:bCs/>
                <w:color w:val="333333"/>
                <w:sz w:val="18"/>
                <w:szCs w:val="18"/>
              </w:rPr>
              <w:t>指标名称</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b/>
                <w:bCs/>
                <w:color w:val="333333"/>
                <w:sz w:val="18"/>
                <w:szCs w:val="18"/>
              </w:rPr>
            </w:pPr>
            <w:r>
              <w:rPr>
                <w:rFonts w:hint="eastAsia" w:ascii="宋体" w:hAnsi="宋体" w:cs="宋体"/>
                <w:b/>
                <w:bCs/>
                <w:color w:val="333333"/>
                <w:sz w:val="18"/>
                <w:szCs w:val="18"/>
              </w:rPr>
              <w:t>分值</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jc w:val="center"/>
              <w:rPr>
                <w:rFonts w:ascii="宋体" w:hAnsi="宋体" w:cs="宋体"/>
                <w:b/>
                <w:bCs/>
                <w:color w:val="333333"/>
                <w:sz w:val="18"/>
                <w:szCs w:val="18"/>
              </w:rPr>
            </w:pPr>
            <w:r>
              <w:rPr>
                <w:rFonts w:hint="eastAsia" w:ascii="宋体" w:hAnsi="宋体" w:cs="宋体"/>
                <w:b/>
                <w:bCs/>
                <w:color w:val="333333"/>
                <w:sz w:val="18"/>
                <w:szCs w:val="18"/>
              </w:rPr>
              <w:t>指标解释说明</w:t>
            </w: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385"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项目决策（20分）</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项目目标（4分）</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项目绩效目标设立</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1</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设立项目长期绩效目标及项目年度实施计划</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目标设立（1分），否则（0分）。</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项目目标明确</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1</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改善人民生活环境，提升人民生活品位，构建和谐社会</w:t>
            </w:r>
          </w:p>
        </w:tc>
        <w:tc>
          <w:tcPr>
            <w:tcW w:w="3395" w:type="dxa"/>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目标明确1分，否则0分</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项目目标量化</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2</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新建或提质改造多少项目，面积多少，有明确的数量</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目标量化1分，目标经化1分</w:t>
            </w:r>
            <w:r>
              <w:rPr>
                <w:rFonts w:hint="eastAsia" w:ascii="宋体" w:hAnsi="宋体" w:cs="宋体"/>
                <w:color w:val="333333"/>
                <w:sz w:val="18"/>
                <w:szCs w:val="18"/>
              </w:rPr>
              <w:br w:type="textWrapping"/>
            </w:r>
            <w:r>
              <w:rPr>
                <w:rFonts w:hint="eastAsia" w:ascii="宋体" w:hAnsi="宋体" w:cs="宋体"/>
                <w:color w:val="333333"/>
                <w:sz w:val="18"/>
                <w:szCs w:val="18"/>
              </w:rPr>
              <w:t>否则0分。</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7"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决策过程(8分)</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项目合法化</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2</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是否符合国家发展规划及产业政策</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符合得1分，否则0分。</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7"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项目文件要求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1</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项目是否符合有关文件要求</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符合得2分，否则0分。</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7"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项目申报条件</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2</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项目是否符合申报条件</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符合得2分，否则0分。</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7"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项目申报程序</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1</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项目申报程序是否符合规定</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符合得1分，否则0分。</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项目专家评审及公示</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2</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项目是否按规定经专家评审及公示</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符合得2分，否则0分。</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资金分配（8分）</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分配方法</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4</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制定了资金管理办法并明确了资金分配方法，分配合理、全面</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按规定执行得4分，否则减分至0分</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分配结果</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4</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资金分配符合资金管理办法，资金分配结果合理</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按规定执行得4分，否则减分至0分</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3"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过程(25分)</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资金到位(5分)</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到位率</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3</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实际到位/计划到位×100%</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到位率为100%的得3分，到位率为90%-100%之间的得2分（含90%），到位率为80%-90%之间的得1分（含80%），低于80%的不得分</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3"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资金到位时效</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2</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资金是否及时到位；若未及时到位，是否影响项目进度</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到位及时得2分，不及时但未影响项目进度得1分，不及时并影响项目进度得0.5分。</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18"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资金管理（10分）</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资金使用</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7</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支出依据合规，无虚列项目支出情况；</w:t>
            </w:r>
            <w:r>
              <w:rPr>
                <w:rFonts w:hint="eastAsia" w:ascii="宋体" w:hAnsi="宋体" w:cs="宋体"/>
                <w:color w:val="333333"/>
                <w:sz w:val="18"/>
                <w:szCs w:val="18"/>
              </w:rPr>
              <w:br w:type="textWrapping"/>
            </w:r>
            <w:r>
              <w:rPr>
                <w:rFonts w:hint="eastAsia" w:ascii="宋体" w:hAnsi="宋体" w:cs="宋体"/>
                <w:color w:val="333333"/>
                <w:sz w:val="18"/>
                <w:szCs w:val="18"/>
              </w:rPr>
              <w:t>无无截留挤占挪用情况；</w:t>
            </w:r>
            <w:r>
              <w:rPr>
                <w:rFonts w:hint="eastAsia" w:ascii="宋体" w:hAnsi="宋体" w:cs="宋体"/>
                <w:color w:val="333333"/>
                <w:sz w:val="18"/>
                <w:szCs w:val="18"/>
              </w:rPr>
              <w:br w:type="textWrapping"/>
            </w:r>
            <w:r>
              <w:rPr>
                <w:rFonts w:hint="eastAsia" w:ascii="宋体" w:hAnsi="宋体" w:cs="宋体"/>
                <w:color w:val="333333"/>
                <w:sz w:val="18"/>
                <w:szCs w:val="18"/>
              </w:rPr>
              <w:t>无超标准开支情况；</w:t>
            </w:r>
            <w:r>
              <w:rPr>
                <w:rFonts w:hint="eastAsia" w:ascii="宋体" w:hAnsi="宋体" w:cs="宋体"/>
                <w:color w:val="333333"/>
                <w:sz w:val="18"/>
                <w:szCs w:val="18"/>
              </w:rPr>
              <w:br w:type="textWrapping"/>
            </w:r>
            <w:r>
              <w:rPr>
                <w:rFonts w:hint="eastAsia" w:ascii="宋体" w:hAnsi="宋体" w:cs="宋体"/>
                <w:color w:val="333333"/>
                <w:sz w:val="18"/>
                <w:szCs w:val="18"/>
              </w:rPr>
              <w:t>无超预算情况</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虚列套取扣4-7分；</w:t>
            </w:r>
            <w:r>
              <w:rPr>
                <w:rFonts w:hint="eastAsia" w:ascii="宋体" w:hAnsi="宋体" w:cs="宋体"/>
                <w:color w:val="333333"/>
                <w:sz w:val="18"/>
                <w:szCs w:val="18"/>
              </w:rPr>
              <w:br w:type="textWrapping"/>
            </w:r>
            <w:r>
              <w:rPr>
                <w:rFonts w:hint="eastAsia" w:ascii="宋体" w:hAnsi="宋体" w:cs="宋体"/>
                <w:color w:val="333333"/>
                <w:sz w:val="18"/>
                <w:szCs w:val="18"/>
              </w:rPr>
              <w:t>依据不合规扣2分；</w:t>
            </w:r>
            <w:r>
              <w:rPr>
                <w:rFonts w:hint="eastAsia" w:ascii="宋体" w:hAnsi="宋体" w:cs="宋体"/>
                <w:color w:val="333333"/>
                <w:sz w:val="18"/>
                <w:szCs w:val="18"/>
              </w:rPr>
              <w:br w:type="textWrapping"/>
            </w:r>
            <w:r>
              <w:rPr>
                <w:rFonts w:hint="eastAsia" w:ascii="宋体" w:hAnsi="宋体" w:cs="宋体"/>
                <w:color w:val="333333"/>
                <w:sz w:val="18"/>
                <w:szCs w:val="18"/>
              </w:rPr>
              <w:t>截留、挤占、挪用扣3-6分；</w:t>
            </w:r>
            <w:r>
              <w:rPr>
                <w:rFonts w:hint="eastAsia" w:ascii="宋体" w:hAnsi="宋体" w:cs="宋体"/>
                <w:color w:val="333333"/>
                <w:sz w:val="18"/>
                <w:szCs w:val="18"/>
              </w:rPr>
              <w:br w:type="textWrapping"/>
            </w:r>
            <w:r>
              <w:rPr>
                <w:rFonts w:hint="eastAsia" w:ascii="宋体" w:hAnsi="宋体" w:cs="宋体"/>
                <w:color w:val="333333"/>
                <w:sz w:val="18"/>
                <w:szCs w:val="18"/>
              </w:rPr>
              <w:t>超标准开支扣2-5分；</w:t>
            </w:r>
            <w:r>
              <w:rPr>
                <w:rFonts w:hint="eastAsia" w:ascii="宋体" w:hAnsi="宋体" w:cs="宋体"/>
                <w:color w:val="333333"/>
                <w:sz w:val="18"/>
                <w:szCs w:val="18"/>
              </w:rPr>
              <w:br w:type="textWrapping"/>
            </w:r>
            <w:r>
              <w:rPr>
                <w:rFonts w:hint="eastAsia" w:ascii="宋体" w:hAnsi="宋体" w:cs="宋体"/>
                <w:color w:val="333333"/>
                <w:sz w:val="18"/>
                <w:szCs w:val="18"/>
              </w:rPr>
              <w:t>超预算扣2-5分。</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6"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财务管理制度</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3</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资金管理、费用支出等制度健全；</w:t>
            </w:r>
            <w:r>
              <w:rPr>
                <w:rFonts w:hint="eastAsia" w:ascii="宋体" w:hAnsi="宋体" w:cs="宋体"/>
                <w:color w:val="333333"/>
                <w:sz w:val="18"/>
                <w:szCs w:val="18"/>
              </w:rPr>
              <w:br w:type="textWrapping"/>
            </w:r>
            <w:r>
              <w:rPr>
                <w:rFonts w:hint="eastAsia" w:ascii="宋体" w:hAnsi="宋体" w:cs="宋体"/>
                <w:color w:val="333333"/>
                <w:sz w:val="18"/>
                <w:szCs w:val="18"/>
              </w:rPr>
              <w:t>制度执行严格；</w:t>
            </w:r>
            <w:r>
              <w:rPr>
                <w:rFonts w:hint="eastAsia" w:ascii="宋体" w:hAnsi="宋体" w:cs="宋体"/>
                <w:color w:val="333333"/>
                <w:sz w:val="18"/>
                <w:szCs w:val="18"/>
              </w:rPr>
              <w:br w:type="textWrapping"/>
            </w:r>
            <w:r>
              <w:rPr>
                <w:rFonts w:hint="eastAsia" w:ascii="宋体" w:hAnsi="宋体" w:cs="宋体"/>
                <w:color w:val="333333"/>
                <w:sz w:val="18"/>
                <w:szCs w:val="18"/>
              </w:rPr>
              <w:t>会计核算规范</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完全相符的得3分，部分不符的，一项不符扣1分，扣完3分为止</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组织实施（10分）</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组织机构</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1</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项目建设的组织机构是否健全，分工是否明确</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机构健全、分工明确得1分，否则0分</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项目实施</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3</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项目按计划开工，按计划进度开展，按计划完工</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完全相符的得3分，部分不符的，一项不符扣1分，扣完3分为止</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3"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质量管理控制</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6</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项目建设质量是否符合设计标准，监理是否及时进行分部分项工程验收，规划建设、经营设施、附属设施是否符合要求</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发现一处质量不符合设计要求扣0.5分，扣完为止</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5" w:hRule="atLeast"/>
        </w:trPr>
        <w:tc>
          <w:tcPr>
            <w:tcW w:w="564"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项目绩效(55分)</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项目产出（15分）</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产出数量</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5</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根据项目实际，标识具体明确的产出数量</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对照绩效目标，按实际产出数量率计算得分</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5"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产出质量</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4</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根据项目实际，标识具体明确的产出质量</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对照绩效目标，按实际产出质量率计算得分</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5"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产出时效</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3</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根据项目实际，标识具体明确的产出时效</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对照绩效目标，按实际产出时效率计算得分</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2"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产出成本</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3</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根据项目实际，标识具体明确的产出成本</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对照绩效目标，按实际产出成本计算得分</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项目效果（40分）</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经济效益</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8</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根据项目实际，标识所产生的直接或间接的经济效益</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对照绩效目标，按经济效益实现程度计算得分</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社会效益</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8</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根据项目实际，标识所产生的社会效益</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对照绩效目标，按社会效益实现程度计算得分</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环境效益</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8</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根据项目实际，标识对环境所产生的积极或消极影响</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对照绩效目标，按对环境所产生的实际影响程度计算得分</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可持续影响</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8</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项目产出能持续运用；项目运行所依赖的政策制度能持续执行</w:t>
            </w:r>
          </w:p>
        </w:tc>
        <w:tc>
          <w:tcPr>
            <w:tcW w:w="3395"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项目产出能持续运用得4分；所依赖的政策制度能持续执行得4分</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10" w:hRule="atLeast"/>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社会公众或服务对象满意度（5分）</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8</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通过问卷调查了解社会公众对部门履职效果、解决民众关心的热点问题、厉行节约等方面的满意程度，反映和评价部门支出所带来的社会效益。</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按照满意度调查的优秀、良好、合格、不合格给予该项指标打分：优秀（5分）；良好（3分）；合格（1分）；不合格（0分）。</w:t>
            </w: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1272"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合计</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100分</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jc w:val="center"/>
              <w:rPr>
                <w:rFonts w:ascii="宋体" w:hAnsi="宋体" w:cs="宋体"/>
                <w:color w:val="333333"/>
                <w:sz w:val="18"/>
                <w:szCs w:val="18"/>
              </w:rPr>
            </w:pPr>
            <w:r>
              <w:rPr>
                <w:rFonts w:hint="eastAsia" w:ascii="宋体" w:hAnsi="宋体" w:cs="宋体"/>
                <w:color w:val="333333"/>
                <w:sz w:val="18"/>
                <w:szCs w:val="18"/>
              </w:rPr>
              <w:t>100</w:t>
            </w:r>
          </w:p>
        </w:tc>
        <w:tc>
          <w:tcPr>
            <w:tcW w:w="328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50" w:beforeLines="0" w:line="360" w:lineRule="auto"/>
              <w:rPr>
                <w:rFonts w:ascii="宋体" w:hAnsi="宋体" w:cs="宋体"/>
                <w:color w:val="333333"/>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3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ascii="宋体" w:hAnsi="宋体" w:cs="宋体"/>
                <w:color w:val="333333"/>
                <w:sz w:val="18"/>
                <w:szCs w:val="18"/>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50" w:beforeLines="0" w:line="360" w:lineRule="auto"/>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97</w:t>
            </w:r>
          </w:p>
        </w:tc>
      </w:tr>
    </w:tbl>
    <w:p>
      <w:pPr>
        <w:adjustRightInd w:val="0"/>
        <w:snapToGrid w:val="0"/>
        <w:spacing w:before="50" w:beforeLines="0" w:line="360" w:lineRule="auto"/>
        <w:rPr>
          <w:rFonts w:ascii="宋体" w:hAnsi="宋体" w:cs="宋体"/>
          <w:color w:val="333333"/>
          <w:sz w:val="18"/>
          <w:szCs w:val="18"/>
        </w:rPr>
      </w:pPr>
      <w:r>
        <w:rPr>
          <w:rFonts w:hint="eastAsia" w:ascii="宋体" w:hAnsi="宋体" w:cs="宋体"/>
          <w:color w:val="333333"/>
          <w:sz w:val="18"/>
          <w:szCs w:val="18"/>
        </w:rPr>
        <w:t>注：该指标体系评分表参照湖南省财政厅《湖南省预算绩效管理之资料汇编》制定。</w:t>
      </w:r>
    </w:p>
    <w:p>
      <w:pPr>
        <w:rPr>
          <w:sz w:val="28"/>
          <w:szCs w:val="28"/>
        </w:rPr>
      </w:pPr>
    </w:p>
    <w:p>
      <w:pPr>
        <w:rPr>
          <w:sz w:val="28"/>
          <w:szCs w:val="28"/>
        </w:rPr>
      </w:pPr>
    </w:p>
    <w:p>
      <w:pPr>
        <w:spacing w:line="520" w:lineRule="exact"/>
        <w:rPr>
          <w:rFonts w:ascii="宋体" w:hAnsi="宋体" w:cs="宋体"/>
          <w:kern w:val="0"/>
          <w:sz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QGZR60BAABK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s8d6cPscakh4Bpabj2Q84c/RGdWfSgwOYvyiEY&#10;xz4fzr2VQyIiP1oulssKQwJj0wVx2MvzADHdSW9JNhoKOLzSU77/HNMpdUrJ1Zy/1cagn9fG/eVA&#10;zOxhmfuJY7bSsBlG4hvfHlBPj3NvqMPFpMTcO2xrXpHJgMnYTMYugN52ZYdyvRiudglJFG65wgl2&#10;LIwDK+rG5cob8fpesl5+gfU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UBmUetAQAASgMA&#10;AA4AAAAAAAAAAQAgAAAAHgEAAGRycy9lMm9Eb2MueG1sUEsFBgAAAAAGAAYAWQEAAD0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3523470"/>
    <w:rsid w:val="33754FC8"/>
    <w:rsid w:val="5C1D6BC3"/>
    <w:rsid w:val="78EF62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unhideWhenUsed/>
    <w:uiPriority w:val="0"/>
  </w:style>
  <w:style w:type="table" w:default="1" w:styleId="5">
    <w:name w:val="Normal Table"/>
    <w:unhideWhenUsed/>
    <w:uiPriority w:val="99"/>
    <w:tblPr>
      <w:tblStyle w:val="5"/>
      <w:tblLayout w:type="fixed"/>
      <w:tblCellMar>
        <w:top w:w="0" w:type="dxa"/>
        <w:left w:w="108" w:type="dxa"/>
        <w:bottom w:w="0" w:type="dxa"/>
        <w:right w:w="108" w:type="dxa"/>
      </w:tblCellMar>
    </w:tblPr>
  </w:style>
  <w:style w:type="paragraph" w:styleId="2">
    <w:name w:val="Body Text Indent"/>
    <w:basedOn w:val="1"/>
    <w:unhideWhenUsed/>
    <w:uiPriority w:val="99"/>
    <w:pPr>
      <w:adjustRightInd w:val="0"/>
      <w:snapToGrid w:val="0"/>
      <w:spacing w:line="560" w:lineRule="atLeast"/>
      <w:ind w:firstLine="640" w:firstLineChars="200"/>
    </w:pPr>
    <w:rPr>
      <w:kern w:val="0"/>
      <w:szCs w:val="28"/>
    </w:rPr>
  </w:style>
  <w:style w:type="paragraph" w:styleId="3">
    <w:name w:val="footer"/>
    <w:basedOn w:val="1"/>
    <w:unhideWhenUsed/>
    <w:uiPriority w:val="0"/>
    <w:pPr>
      <w:tabs>
        <w:tab w:val="center" w:pos="4153"/>
        <w:tab w:val="right" w:pos="8306"/>
      </w:tabs>
      <w:snapToGrid w:val="0"/>
      <w:jc w:val="left"/>
    </w:pPr>
    <w:rPr>
      <w:sz w:val="18"/>
    </w:rPr>
  </w:style>
  <w:style w:type="paragraph" w:styleId="4">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unhideWhenUsed/>
    <w:uiPriority w:val="99"/>
  </w:style>
  <w:style w:type="character" w:styleId="8">
    <w:name w:val="FollowedHyperlink"/>
    <w:basedOn w:val="6"/>
    <w:unhideWhenUsed/>
    <w:uiPriority w:val="99"/>
    <w:rPr>
      <w:color w:val="800080"/>
      <w:u w:val="single"/>
    </w:rPr>
  </w:style>
  <w:style w:type="character" w:styleId="9">
    <w:name w:val="Hyperlink"/>
    <w:basedOn w:val="6"/>
    <w:unhideWhenUsed/>
    <w:uiPriority w:val="99"/>
    <w:rPr>
      <w:color w:val="0000FF"/>
      <w:u w:val="single"/>
    </w:rPr>
  </w:style>
  <w:style w:type="character" w:customStyle="1" w:styleId="10">
    <w:name w:val="font2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1709</Words>
  <Characters>9745</Characters>
  <Lines>81</Lines>
  <Paragraphs>22</Paragraphs>
  <TotalTime>7</TotalTime>
  <ScaleCrop>false</ScaleCrop>
  <LinksUpToDate>false</LinksUpToDate>
  <CharactersWithSpaces>11432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Administrator</dc:creator>
  <cp:lastModifiedBy>葳蕤</cp:lastModifiedBy>
  <cp:lastPrinted>2019-06-19T02:16:40Z</cp:lastPrinted>
  <dcterms:modified xsi:type="dcterms:W3CDTF">2019-08-04T08:00:46Z</dcterms:modified>
  <dc:title>江华瑶族自治县财政局关于开展政府购买服务第三方绩效评价工作的实施意见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