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600" w:lineRule="exact"/>
        <w:jc w:val="center"/>
        <w:rPr>
          <w:rFonts w:ascii="方正小标宋简体" w:eastAsia="方正小标宋简体" w:cs="Helvetica"/>
          <w:color w:val="333333"/>
          <w:kern w:val="0"/>
          <w:sz w:val="44"/>
          <w:szCs w:val="44"/>
        </w:rPr>
      </w:pPr>
      <w:r>
        <w:rPr>
          <w:rFonts w:hint="eastAsia" w:ascii="方正小标宋简体" w:eastAsia="方正小标宋简体" w:cs="Helvetica"/>
          <w:color w:val="333333"/>
          <w:kern w:val="0"/>
          <w:sz w:val="44"/>
          <w:szCs w:val="44"/>
        </w:rPr>
        <w:t>江华县</w:t>
      </w:r>
      <w:r>
        <w:rPr>
          <w:rFonts w:ascii="方正小标宋简体" w:eastAsia="方正小标宋简体" w:cs="Helvetica"/>
          <w:color w:val="333333"/>
          <w:kern w:val="0"/>
          <w:sz w:val="44"/>
          <w:szCs w:val="44"/>
        </w:rPr>
        <w:t>202</w:t>
      </w:r>
      <w:r>
        <w:rPr>
          <w:rFonts w:hint="eastAsia" w:ascii="方正小标宋简体" w:eastAsia="方正小标宋简体" w:cs="Helvetica"/>
          <w:color w:val="333333"/>
          <w:kern w:val="0"/>
          <w:sz w:val="44"/>
          <w:szCs w:val="44"/>
        </w:rPr>
        <w:t>3年度湖南省中小企业发展专项资金绩效自评报告</w:t>
      </w:r>
    </w:p>
    <w:p>
      <w:pPr>
        <w:widowControl/>
        <w:shd w:val="clear" w:color="auto" w:fill="FFFFFF"/>
        <w:spacing w:line="600" w:lineRule="exact"/>
        <w:jc w:val="center"/>
        <w:rPr>
          <w:rFonts w:ascii="仿宋_GB2312" w:eastAsia="仿宋_GB2312" w:cs="Helvetica"/>
          <w:color w:val="333333"/>
          <w:kern w:val="0"/>
          <w:sz w:val="32"/>
          <w:szCs w:val="32"/>
        </w:rPr>
      </w:pPr>
      <w:r>
        <w:rPr>
          <w:rFonts w:hint="eastAsia" w:ascii="仿宋_GB2312" w:eastAsia="仿宋_GB2312" w:cs="Helvetica"/>
          <w:color w:val="333333"/>
          <w:kern w:val="0"/>
          <w:sz w:val="32"/>
          <w:szCs w:val="32"/>
        </w:rPr>
        <w:t> </w:t>
      </w:r>
    </w:p>
    <w:p>
      <w:pPr>
        <w:widowControl/>
        <w:numPr>
          <w:ilvl w:val="0"/>
          <w:numId w:val="1"/>
        </w:numPr>
        <w:shd w:val="clear" w:color="auto" w:fill="FFFFFF"/>
        <w:suppressAutoHyphens/>
        <w:spacing w:line="600" w:lineRule="exact"/>
        <w:ind w:firstLine="643" w:firstLineChars="200"/>
        <w:jc w:val="left"/>
        <w:rPr>
          <w:rFonts w:ascii="仿宋_GB2312" w:hAnsi="Helvetica" w:eastAsia="仿宋_GB2312" w:cs="Helvetica"/>
          <w:b/>
          <w:bCs/>
          <w:color w:val="333333"/>
          <w:kern w:val="0"/>
          <w:sz w:val="32"/>
          <w:szCs w:val="32"/>
        </w:rPr>
      </w:pPr>
      <w:r>
        <w:rPr>
          <w:rFonts w:hint="eastAsia" w:ascii="仿宋_GB2312" w:hAnsi="Helvetica" w:eastAsia="仿宋_GB2312" w:cs="Helvetica"/>
          <w:b/>
          <w:bCs/>
          <w:color w:val="333333"/>
          <w:kern w:val="0"/>
          <w:sz w:val="32"/>
          <w:szCs w:val="32"/>
        </w:rPr>
        <w:t>本地区2023年度中小企业发展及中小企业工作情况概述</w:t>
      </w:r>
    </w:p>
    <w:p>
      <w:pPr>
        <w:widowControl/>
        <w:shd w:val="clear" w:color="auto" w:fill="FFFFFF"/>
        <w:spacing w:line="580" w:lineRule="exact"/>
        <w:ind w:firstLine="640" w:firstLineChars="200"/>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今年以来，面对国内经济下行压力进一步加大，我县认真贯彻落实省市关于工业稳增长的一系列安排部署，加大助企纾困力度、持续优化对企服务，全县工业经济结构在优化、方式在转变、质量在提升、效益在增强，充分展现出我县工业经济的强大韧性和活力。</w:t>
      </w:r>
    </w:p>
    <w:p>
      <w:pPr>
        <w:widowControl/>
        <w:shd w:val="clear" w:color="auto" w:fill="FFFFFF"/>
        <w:spacing w:line="600" w:lineRule="exact"/>
        <w:ind w:firstLine="643" w:firstLineChars="200"/>
        <w:jc w:val="left"/>
        <w:rPr>
          <w:rFonts w:ascii="仿宋_GB2312" w:eastAsia="仿宋_GB2312" w:cs="Helvetica"/>
          <w:b/>
          <w:bCs/>
          <w:color w:val="333333"/>
          <w:kern w:val="0"/>
          <w:sz w:val="32"/>
          <w:szCs w:val="32"/>
        </w:rPr>
      </w:pPr>
      <w:r>
        <w:rPr>
          <w:rFonts w:hint="eastAsia" w:ascii="仿宋_GB2312" w:eastAsia="仿宋_GB2312" w:cs="Helvetica"/>
          <w:b/>
          <w:bCs/>
          <w:color w:val="333333"/>
          <w:kern w:val="0"/>
          <w:sz w:val="32"/>
          <w:szCs w:val="32"/>
        </w:rPr>
        <w:t>（一）工业经济运行稳中有进</w:t>
      </w:r>
    </w:p>
    <w:p>
      <w:pPr>
        <w:widowControl/>
        <w:shd w:val="clear" w:color="auto" w:fill="FFFFFF"/>
        <w:spacing w:line="580" w:lineRule="exact"/>
        <w:ind w:firstLine="640" w:firstLineChars="200"/>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2023年全县124家规模以上工业企业累计完成总产值190.97亿元，同比增长7.8%，累计实现规模工业增加值同比增长2.0%；累计完成工业实缴税金6.05亿元，同比增长7.67%；实现工业固定资产投资同比增长23.4%；实现工业技改投资同比增长67.9%，排全市第1位；累计完成新增入统规模工业企业13家，排全市第6位。</w:t>
      </w:r>
    </w:p>
    <w:p>
      <w:pPr>
        <w:widowControl/>
        <w:shd w:val="clear" w:color="auto" w:fill="FFFFFF"/>
        <w:spacing w:line="600" w:lineRule="exact"/>
        <w:ind w:firstLine="643" w:firstLineChars="200"/>
        <w:jc w:val="left"/>
        <w:rPr>
          <w:rFonts w:ascii="仿宋_GB2312" w:eastAsia="仿宋_GB2312" w:cs="Helvetica"/>
          <w:b/>
          <w:bCs/>
          <w:color w:val="333333"/>
          <w:kern w:val="0"/>
          <w:sz w:val="32"/>
          <w:szCs w:val="32"/>
        </w:rPr>
      </w:pPr>
      <w:r>
        <w:rPr>
          <w:rFonts w:hint="eastAsia" w:ascii="仿宋_GB2312" w:eastAsia="仿宋_GB2312" w:cs="Helvetica"/>
          <w:b/>
          <w:bCs/>
          <w:color w:val="333333"/>
          <w:kern w:val="0"/>
          <w:sz w:val="32"/>
          <w:szCs w:val="32"/>
        </w:rPr>
        <w:t>（二）“一主一特”集群快速发展</w:t>
      </w:r>
    </w:p>
    <w:p>
      <w:pPr>
        <w:pStyle w:val="8"/>
        <w:spacing w:line="560" w:lineRule="exact"/>
        <w:ind w:firstLine="640" w:firstLineChars="200"/>
        <w:rPr>
          <w:rFonts w:ascii="仿宋" w:hAnsi="仿宋" w:eastAsia="仿宋" w:cs="仿宋"/>
          <w:b/>
          <w:bCs/>
          <w:sz w:val="32"/>
          <w:szCs w:val="32"/>
        </w:rPr>
      </w:pPr>
      <w:r>
        <w:rPr>
          <w:rFonts w:hint="eastAsia" w:ascii="仿宋" w:hAnsi="仿宋" w:eastAsia="仿宋" w:cs="仿宋"/>
          <w:sz w:val="32"/>
          <w:szCs w:val="32"/>
        </w:rPr>
        <w:t>全年新材料主导产业实现产值96.92亿元，占规模工业总产值的50.75%</w:t>
      </w:r>
      <w:r>
        <w:rPr>
          <w:rFonts w:hint="eastAsia" w:ascii="仿宋" w:hAnsi="仿宋" w:cs="仿宋"/>
          <w:sz w:val="32"/>
          <w:szCs w:val="32"/>
        </w:rPr>
        <w:t>，</w:t>
      </w:r>
      <w:r>
        <w:rPr>
          <w:rFonts w:hint="eastAsia" w:ascii="仿宋" w:hAnsi="仿宋" w:eastAsia="仿宋" w:cs="仿宋"/>
          <w:sz w:val="32"/>
          <w:szCs w:val="32"/>
        </w:rPr>
        <w:t>电机马达特色产业实现产值59.44亿元，占规模工业总产值的31.13%，主特产业占比不断提升。累计产值过亿元企业55家，占规模工业企业总数的44.35%，新增营收过亿元企业7家。累计成功培育认定省级专精特新中小企业31家</w:t>
      </w:r>
      <w:r>
        <w:rPr>
          <w:rFonts w:hint="eastAsia" w:ascii="仿宋" w:hAnsi="仿宋" w:cs="仿宋"/>
          <w:sz w:val="32"/>
          <w:szCs w:val="32"/>
        </w:rPr>
        <w:t>（</w:t>
      </w:r>
      <w:r>
        <w:rPr>
          <w:rFonts w:hint="eastAsia" w:ascii="仿宋" w:hAnsi="仿宋" w:eastAsia="仿宋" w:cs="仿宋"/>
          <w:sz w:val="32"/>
          <w:szCs w:val="32"/>
        </w:rPr>
        <w:t>其中国家级专精特新“小巨人”企业4家，湖南省专精特新中小企业11家</w:t>
      </w:r>
      <w:r>
        <w:rPr>
          <w:rFonts w:hint="eastAsia" w:ascii="仿宋" w:hAnsi="仿宋" w:cs="仿宋"/>
          <w:sz w:val="32"/>
          <w:szCs w:val="32"/>
        </w:rPr>
        <w:t>）；</w:t>
      </w:r>
      <w:r>
        <w:rPr>
          <w:rFonts w:hint="eastAsia" w:ascii="仿宋" w:hAnsi="仿宋" w:eastAsia="仿宋" w:cs="仿宋"/>
          <w:sz w:val="32"/>
          <w:szCs w:val="32"/>
        </w:rPr>
        <w:t>入选省级制造业单项冠军产品2家</w:t>
      </w:r>
      <w:r>
        <w:rPr>
          <w:rFonts w:hint="eastAsia" w:ascii="仿宋" w:hAnsi="仿宋" w:cs="仿宋"/>
          <w:sz w:val="32"/>
          <w:szCs w:val="32"/>
        </w:rPr>
        <w:t>；</w:t>
      </w:r>
      <w:r>
        <w:rPr>
          <w:rFonts w:hint="eastAsia" w:ascii="仿宋" w:hAnsi="仿宋" w:eastAsia="仿宋" w:cs="仿宋"/>
          <w:sz w:val="32"/>
          <w:szCs w:val="32"/>
        </w:rPr>
        <w:t>成功申报高新技术企业27家，有效高企数达70家。</w:t>
      </w:r>
      <w:r>
        <w:rPr>
          <w:rFonts w:hint="eastAsia" w:ascii="仿宋_GB2312" w:hAnsi="仿宋_GB2312" w:eastAsia="仿宋_GB2312" w:cs="仿宋_GB2312"/>
          <w:sz w:val="32"/>
          <w:szCs w:val="32"/>
        </w:rPr>
        <w:t>江华智能小家电电机产业集群入围2023年湖南产业集群决赛胜出名单，被认定为省级中小工业企业特色产业集群。</w:t>
      </w:r>
    </w:p>
    <w:p>
      <w:pPr>
        <w:widowControl/>
        <w:shd w:val="clear" w:color="auto" w:fill="FFFFFF"/>
        <w:spacing w:line="600" w:lineRule="exact"/>
        <w:ind w:firstLine="643" w:firstLineChars="200"/>
        <w:jc w:val="left"/>
        <w:rPr>
          <w:rFonts w:ascii="仿宋_GB2312" w:eastAsia="仿宋_GB2312" w:cs="Helvetica"/>
          <w:b/>
          <w:bCs/>
          <w:color w:val="333333"/>
          <w:kern w:val="0"/>
          <w:sz w:val="32"/>
          <w:szCs w:val="32"/>
        </w:rPr>
      </w:pPr>
      <w:r>
        <w:rPr>
          <w:rFonts w:hint="eastAsia" w:ascii="仿宋_GB2312" w:eastAsia="仿宋_GB2312" w:cs="Helvetica"/>
          <w:b/>
          <w:bCs/>
          <w:color w:val="333333"/>
          <w:kern w:val="0"/>
          <w:sz w:val="32"/>
          <w:szCs w:val="32"/>
        </w:rPr>
        <w:t>（三）“五好”园区创建实现新突破</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江华高新区紧紧围绕“五好”园区创建标准，扎实开展“三送三解三优”行动，以“五五”工作法为抓手，不断擦亮“五心四到两保障”母亲式服务品牌，全力打好经济增长主动仗，推进“五好”园区建设。2023年11月30日，毛伟明省长在省档案馆呈报的《“江华奇迹”是如何创造的—偏远山区的“五好”园区涅槃之路》上专门作出批示，作为典型以《省政府通报》形式印发全省各地各单位学习借鉴。</w:t>
      </w:r>
    </w:p>
    <w:p>
      <w:pPr>
        <w:widowControl/>
        <w:shd w:val="clear" w:color="auto" w:fill="FFFFFF"/>
        <w:spacing w:line="580" w:lineRule="exact"/>
        <w:ind w:firstLine="640" w:firstLineChars="200"/>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2023年共3个项目申报2023年度湖南省中小企业发展专项资金，共获批中小企业发展专项资金100万元。</w:t>
      </w:r>
    </w:p>
    <w:tbl>
      <w:tblPr>
        <w:tblStyle w:val="11"/>
        <w:tblW w:w="8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4"/>
        <w:gridCol w:w="2193"/>
        <w:gridCol w:w="2147"/>
        <w:gridCol w:w="800"/>
        <w:gridCol w:w="1242"/>
        <w:gridCol w:w="1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Borders>
              <w:top w:val="single" w:color="auto" w:sz="4" w:space="0"/>
              <w:left w:val="single" w:color="auto" w:sz="4" w:space="0"/>
              <w:bottom w:val="single" w:color="auto" w:sz="4" w:space="0"/>
              <w:right w:val="single" w:color="auto" w:sz="4" w:space="0"/>
              <w:tl2br w:val="nil"/>
              <w:tr2bl w:val="nil"/>
            </w:tcBorders>
          </w:tcPr>
          <w:p>
            <w:pPr>
              <w:widowControl/>
              <w:spacing w:line="600" w:lineRule="exact"/>
              <w:jc w:val="center"/>
              <w:rPr>
                <w:rFonts w:ascii="仿宋_GB2312" w:eastAsia="仿宋_GB2312" w:cs="Helvetica"/>
                <w:b/>
                <w:bCs/>
                <w:color w:val="333333"/>
                <w:kern w:val="0"/>
                <w:sz w:val="24"/>
                <w:szCs w:val="24"/>
              </w:rPr>
            </w:pPr>
            <w:r>
              <w:rPr>
                <w:rFonts w:hint="eastAsia" w:ascii="仿宋_GB2312" w:eastAsia="仿宋_GB2312" w:cs="Helvetica"/>
                <w:b/>
                <w:bCs/>
                <w:color w:val="333333"/>
                <w:kern w:val="0"/>
                <w:sz w:val="24"/>
                <w:szCs w:val="24"/>
              </w:rPr>
              <w:t>县市区</w:t>
            </w:r>
          </w:p>
        </w:tc>
        <w:tc>
          <w:tcPr>
            <w:tcW w:w="2193" w:type="dxa"/>
            <w:tcBorders>
              <w:top w:val="single" w:color="auto" w:sz="4" w:space="0"/>
              <w:left w:val="single" w:color="auto" w:sz="4" w:space="0"/>
              <w:bottom w:val="single" w:color="auto" w:sz="4" w:space="0"/>
              <w:right w:val="single" w:color="auto" w:sz="4" w:space="0"/>
              <w:tl2br w:val="nil"/>
              <w:tr2bl w:val="nil"/>
            </w:tcBorders>
          </w:tcPr>
          <w:p>
            <w:pPr>
              <w:widowControl/>
              <w:spacing w:line="600" w:lineRule="exact"/>
              <w:jc w:val="center"/>
              <w:rPr>
                <w:rFonts w:ascii="仿宋_GB2312" w:eastAsia="仿宋_GB2312" w:cs="Helvetica"/>
                <w:b/>
                <w:bCs/>
                <w:color w:val="333333"/>
                <w:kern w:val="0"/>
                <w:sz w:val="24"/>
                <w:szCs w:val="24"/>
              </w:rPr>
            </w:pPr>
            <w:r>
              <w:rPr>
                <w:rFonts w:hint="eastAsia" w:ascii="仿宋_GB2312" w:eastAsia="仿宋_GB2312" w:cs="Helvetica"/>
                <w:b/>
                <w:bCs/>
                <w:color w:val="333333"/>
                <w:kern w:val="0"/>
                <w:sz w:val="24"/>
                <w:szCs w:val="24"/>
              </w:rPr>
              <w:t>项目单位名称</w:t>
            </w:r>
          </w:p>
        </w:tc>
        <w:tc>
          <w:tcPr>
            <w:tcW w:w="2147" w:type="dxa"/>
            <w:tcBorders>
              <w:top w:val="single" w:color="auto" w:sz="4" w:space="0"/>
              <w:left w:val="single" w:color="auto" w:sz="4" w:space="0"/>
              <w:bottom w:val="single" w:color="auto" w:sz="4" w:space="0"/>
              <w:right w:val="single" w:color="auto" w:sz="4" w:space="0"/>
              <w:tl2br w:val="nil"/>
              <w:tr2bl w:val="nil"/>
            </w:tcBorders>
          </w:tcPr>
          <w:p>
            <w:pPr>
              <w:widowControl/>
              <w:spacing w:line="600" w:lineRule="exact"/>
              <w:jc w:val="center"/>
              <w:rPr>
                <w:rFonts w:ascii="仿宋_GB2312" w:eastAsia="仿宋_GB2312" w:cs="Helvetica"/>
                <w:b/>
                <w:bCs/>
                <w:color w:val="333333"/>
                <w:kern w:val="0"/>
                <w:sz w:val="24"/>
                <w:szCs w:val="24"/>
              </w:rPr>
            </w:pPr>
            <w:r>
              <w:rPr>
                <w:rFonts w:hint="eastAsia" w:ascii="仿宋_GB2312" w:eastAsia="仿宋_GB2312" w:cs="Helvetica"/>
                <w:b/>
                <w:bCs/>
                <w:color w:val="333333"/>
                <w:kern w:val="0"/>
                <w:sz w:val="24"/>
                <w:szCs w:val="24"/>
              </w:rPr>
              <w:t>项目类型</w:t>
            </w:r>
          </w:p>
        </w:tc>
        <w:tc>
          <w:tcPr>
            <w:tcW w:w="800" w:type="dxa"/>
            <w:tcBorders>
              <w:top w:val="single" w:color="auto" w:sz="4" w:space="0"/>
              <w:left w:val="single" w:color="auto" w:sz="4" w:space="0"/>
              <w:bottom w:val="single" w:color="auto" w:sz="4" w:space="0"/>
              <w:right w:val="single" w:color="auto" w:sz="4" w:space="0"/>
              <w:tl2br w:val="nil"/>
              <w:tr2bl w:val="nil"/>
            </w:tcBorders>
          </w:tcPr>
          <w:p>
            <w:pPr>
              <w:widowControl/>
              <w:spacing w:line="600" w:lineRule="exact"/>
              <w:jc w:val="center"/>
              <w:rPr>
                <w:rFonts w:ascii="仿宋_GB2312" w:eastAsia="仿宋_GB2312" w:cs="Helvetica"/>
                <w:b/>
                <w:bCs/>
                <w:color w:val="333333"/>
                <w:kern w:val="0"/>
                <w:sz w:val="24"/>
                <w:szCs w:val="24"/>
              </w:rPr>
            </w:pPr>
            <w:r>
              <w:rPr>
                <w:rFonts w:hint="eastAsia" w:ascii="仿宋_GB2312" w:eastAsia="仿宋_GB2312" w:cs="Helvetica"/>
                <w:b/>
                <w:bCs/>
                <w:color w:val="333333"/>
                <w:kern w:val="0"/>
                <w:sz w:val="24"/>
                <w:szCs w:val="24"/>
              </w:rPr>
              <w:t>金额</w:t>
            </w:r>
          </w:p>
        </w:tc>
        <w:tc>
          <w:tcPr>
            <w:tcW w:w="1242" w:type="dxa"/>
            <w:tcBorders>
              <w:top w:val="single" w:color="auto" w:sz="4" w:space="0"/>
              <w:left w:val="single" w:color="auto" w:sz="4" w:space="0"/>
              <w:bottom w:val="single" w:color="auto" w:sz="4" w:space="0"/>
              <w:right w:val="single" w:color="auto" w:sz="4" w:space="0"/>
              <w:tl2br w:val="nil"/>
              <w:tr2bl w:val="nil"/>
            </w:tcBorders>
          </w:tcPr>
          <w:p>
            <w:pPr>
              <w:widowControl/>
              <w:spacing w:line="600" w:lineRule="exact"/>
              <w:jc w:val="center"/>
              <w:rPr>
                <w:rFonts w:ascii="仿宋_GB2312" w:eastAsia="仿宋_GB2312" w:cs="Helvetica"/>
                <w:b/>
                <w:bCs/>
                <w:color w:val="333333"/>
                <w:kern w:val="0"/>
                <w:sz w:val="24"/>
                <w:szCs w:val="24"/>
              </w:rPr>
            </w:pPr>
            <w:r>
              <w:rPr>
                <w:rFonts w:hint="eastAsia" w:ascii="仿宋_GB2312" w:eastAsia="仿宋_GB2312" w:cs="Helvetica"/>
                <w:b/>
                <w:bCs/>
                <w:color w:val="333333"/>
                <w:kern w:val="0"/>
                <w:sz w:val="24"/>
                <w:szCs w:val="24"/>
              </w:rPr>
              <w:t>完成情况</w:t>
            </w:r>
          </w:p>
        </w:tc>
        <w:tc>
          <w:tcPr>
            <w:tcW w:w="1374" w:type="dxa"/>
            <w:tcBorders>
              <w:top w:val="single" w:color="auto" w:sz="4" w:space="0"/>
              <w:left w:val="single" w:color="auto" w:sz="4" w:space="0"/>
              <w:bottom w:val="single" w:color="auto" w:sz="4" w:space="0"/>
              <w:right w:val="single" w:color="auto" w:sz="4" w:space="0"/>
              <w:tl2br w:val="nil"/>
              <w:tr2bl w:val="nil"/>
            </w:tcBorders>
          </w:tcPr>
          <w:p>
            <w:pPr>
              <w:widowControl/>
              <w:jc w:val="center"/>
              <w:rPr>
                <w:rFonts w:ascii="仿宋_GB2312" w:eastAsia="仿宋_GB2312" w:cs="Helvetica"/>
                <w:b/>
                <w:bCs/>
                <w:color w:val="333333"/>
                <w:kern w:val="0"/>
                <w:sz w:val="24"/>
                <w:szCs w:val="24"/>
              </w:rPr>
            </w:pPr>
            <w:r>
              <w:rPr>
                <w:rFonts w:hint="eastAsia" w:ascii="仿宋_GB2312" w:eastAsia="仿宋_GB2312" w:cs="Helvetica"/>
                <w:b/>
                <w:bCs/>
                <w:color w:val="333333"/>
                <w:kern w:val="0"/>
                <w:sz w:val="24"/>
                <w:szCs w:val="24"/>
              </w:rPr>
              <w:t>未完成原因和改进措施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仿宋_GB2312" w:hAnsi="Helvetica" w:eastAsia="仿宋_GB2312" w:cs="Helvetica"/>
                <w:color w:val="333333"/>
                <w:kern w:val="0"/>
                <w:sz w:val="24"/>
                <w:szCs w:val="24"/>
              </w:rPr>
            </w:pPr>
            <w:r>
              <w:rPr>
                <w:rFonts w:hint="eastAsia" w:ascii="仿宋_GB2312" w:hAnsi="Helvetica" w:eastAsia="仿宋_GB2312" w:cs="Helvetica"/>
                <w:color w:val="333333"/>
                <w:kern w:val="0"/>
                <w:sz w:val="24"/>
                <w:szCs w:val="24"/>
              </w:rPr>
              <w:t>江华县</w:t>
            </w:r>
          </w:p>
        </w:tc>
        <w:tc>
          <w:tcPr>
            <w:tcW w:w="2193"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仿宋_GB2312" w:hAnsi="Helvetica" w:eastAsia="仿宋_GB2312" w:cs="Helvetica"/>
                <w:color w:val="333333"/>
                <w:kern w:val="0"/>
                <w:sz w:val="24"/>
                <w:szCs w:val="24"/>
              </w:rPr>
            </w:pPr>
            <w:r>
              <w:rPr>
                <w:rFonts w:ascii="仿宋_GB2312" w:hAnsi="Helvetica" w:eastAsia="仿宋_GB2312" w:cs="Helvetica"/>
                <w:color w:val="333333"/>
                <w:kern w:val="0"/>
                <w:sz w:val="24"/>
                <w:szCs w:val="24"/>
              </w:rPr>
              <w:t>湖南</w:t>
            </w:r>
            <w:r>
              <w:rPr>
                <w:rFonts w:hint="eastAsia" w:ascii="仿宋_GB2312" w:hAnsi="Helvetica" w:eastAsia="仿宋_GB2312" w:cs="Helvetica"/>
                <w:color w:val="333333"/>
                <w:kern w:val="0"/>
                <w:sz w:val="24"/>
                <w:szCs w:val="24"/>
              </w:rPr>
              <w:t>泉想湖智能科技</w:t>
            </w:r>
            <w:r>
              <w:rPr>
                <w:rFonts w:ascii="仿宋_GB2312" w:hAnsi="Helvetica" w:eastAsia="仿宋_GB2312" w:cs="Helvetica"/>
                <w:color w:val="333333"/>
                <w:kern w:val="0"/>
                <w:sz w:val="24"/>
                <w:szCs w:val="24"/>
              </w:rPr>
              <w:t>有限公司</w:t>
            </w:r>
          </w:p>
        </w:tc>
        <w:tc>
          <w:tcPr>
            <w:tcW w:w="214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仿宋_GB2312" w:hAnsi="Helvetica" w:eastAsia="仿宋_GB2312" w:cs="Helvetica"/>
                <w:color w:val="333333"/>
                <w:kern w:val="0"/>
                <w:sz w:val="24"/>
                <w:szCs w:val="24"/>
              </w:rPr>
            </w:pPr>
            <w:r>
              <w:rPr>
                <w:rFonts w:hint="eastAsia" w:ascii="仿宋_GB2312" w:hAnsi="Helvetica" w:eastAsia="仿宋_GB2312" w:cs="Helvetica"/>
                <w:color w:val="333333"/>
                <w:kern w:val="0"/>
                <w:sz w:val="24"/>
                <w:szCs w:val="24"/>
              </w:rPr>
              <w:t>专精特新发展类</w:t>
            </w:r>
          </w:p>
          <w:p>
            <w:pPr>
              <w:widowControl/>
              <w:spacing w:line="600" w:lineRule="exact"/>
              <w:jc w:val="center"/>
              <w:rPr>
                <w:rFonts w:ascii="仿宋_GB2312" w:hAnsi="Helvetica" w:eastAsia="仿宋_GB2312" w:cs="Helvetica"/>
                <w:color w:val="333333"/>
                <w:kern w:val="0"/>
                <w:sz w:val="24"/>
                <w:szCs w:val="24"/>
              </w:rPr>
            </w:pPr>
            <w:r>
              <w:rPr>
                <w:rFonts w:hint="eastAsia" w:ascii="仿宋_GB2312" w:hAnsi="Helvetica" w:eastAsia="仿宋_GB2312" w:cs="Helvetica"/>
                <w:color w:val="333333"/>
                <w:kern w:val="0"/>
                <w:sz w:val="24"/>
                <w:szCs w:val="24"/>
              </w:rPr>
              <w:t>项目</w:t>
            </w:r>
          </w:p>
        </w:tc>
        <w:tc>
          <w:tcPr>
            <w:tcW w:w="80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480" w:lineRule="exact"/>
              <w:jc w:val="center"/>
              <w:rPr>
                <w:rFonts w:ascii="仿宋_GB2312" w:hAnsi="Helvetica" w:eastAsia="仿宋_GB2312" w:cs="Helvetica"/>
                <w:color w:val="333333"/>
                <w:kern w:val="0"/>
                <w:sz w:val="24"/>
                <w:szCs w:val="24"/>
              </w:rPr>
            </w:pPr>
            <w:r>
              <w:rPr>
                <w:rFonts w:hint="eastAsia" w:ascii="仿宋_GB2312" w:hAnsi="Helvetica" w:eastAsia="仿宋_GB2312" w:cs="Helvetica"/>
                <w:color w:val="333333"/>
                <w:kern w:val="0"/>
                <w:sz w:val="24"/>
                <w:szCs w:val="24"/>
              </w:rPr>
              <w:t>35</w:t>
            </w:r>
          </w:p>
        </w:tc>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仿宋_GB2312" w:hAnsi="Helvetica" w:eastAsia="仿宋_GB2312" w:cs="Helvetica"/>
                <w:color w:val="333333"/>
                <w:kern w:val="0"/>
                <w:sz w:val="24"/>
                <w:szCs w:val="24"/>
              </w:rPr>
            </w:pPr>
            <w:r>
              <w:rPr>
                <w:rFonts w:hint="eastAsia" w:ascii="仿宋_GB2312" w:hAnsi="Helvetica" w:eastAsia="仿宋_GB2312" w:cs="Helvetica"/>
                <w:color w:val="333333"/>
                <w:kern w:val="0"/>
                <w:sz w:val="24"/>
                <w:szCs w:val="24"/>
              </w:rPr>
              <w:t>已完成</w:t>
            </w:r>
          </w:p>
        </w:tc>
        <w:tc>
          <w:tcPr>
            <w:tcW w:w="137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仿宋_GB2312" w:hAnsi="Helvetica" w:eastAsia="仿宋_GB2312" w:cs="Helvetica"/>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仿宋_GB2312" w:hAnsi="Helvetica" w:eastAsia="仿宋_GB2312" w:cs="Helvetica"/>
                <w:color w:val="333333"/>
                <w:kern w:val="0"/>
                <w:sz w:val="24"/>
                <w:szCs w:val="24"/>
              </w:rPr>
            </w:pPr>
            <w:r>
              <w:rPr>
                <w:rFonts w:hint="eastAsia" w:ascii="仿宋_GB2312" w:hAnsi="Helvetica" w:eastAsia="仿宋_GB2312" w:cs="Helvetica"/>
                <w:color w:val="333333"/>
                <w:kern w:val="0"/>
                <w:sz w:val="24"/>
                <w:szCs w:val="24"/>
              </w:rPr>
              <w:t>江华县</w:t>
            </w:r>
          </w:p>
        </w:tc>
        <w:tc>
          <w:tcPr>
            <w:tcW w:w="2193"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仿宋_GB2312" w:hAnsi="Helvetica" w:eastAsia="仿宋_GB2312" w:cs="Helvetica"/>
                <w:color w:val="333333"/>
                <w:kern w:val="0"/>
                <w:sz w:val="24"/>
                <w:szCs w:val="24"/>
              </w:rPr>
            </w:pPr>
            <w:r>
              <w:rPr>
                <w:rFonts w:ascii="仿宋_GB2312" w:hAnsi="Helvetica" w:eastAsia="仿宋_GB2312" w:cs="Helvetica"/>
                <w:color w:val="333333"/>
                <w:kern w:val="0"/>
                <w:sz w:val="24"/>
                <w:szCs w:val="24"/>
              </w:rPr>
              <w:t>湖南</w:t>
            </w:r>
            <w:r>
              <w:rPr>
                <w:rFonts w:hint="eastAsia" w:ascii="仿宋_GB2312" w:hAnsi="Helvetica" w:eastAsia="仿宋_GB2312" w:cs="Helvetica"/>
                <w:color w:val="333333"/>
                <w:kern w:val="0"/>
                <w:sz w:val="24"/>
                <w:szCs w:val="24"/>
              </w:rPr>
              <w:t>龙德晟机电科技</w:t>
            </w:r>
            <w:r>
              <w:rPr>
                <w:rFonts w:ascii="仿宋_GB2312" w:hAnsi="Helvetica" w:eastAsia="仿宋_GB2312" w:cs="Helvetica"/>
                <w:color w:val="333333"/>
                <w:kern w:val="0"/>
                <w:sz w:val="24"/>
                <w:szCs w:val="24"/>
              </w:rPr>
              <w:t>有限公司</w:t>
            </w:r>
          </w:p>
        </w:tc>
        <w:tc>
          <w:tcPr>
            <w:tcW w:w="2147"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仿宋_GB2312" w:hAnsi="Helvetica" w:eastAsia="仿宋_GB2312" w:cs="Helvetica"/>
                <w:color w:val="333333"/>
                <w:kern w:val="0"/>
                <w:sz w:val="24"/>
                <w:szCs w:val="24"/>
              </w:rPr>
            </w:pPr>
            <w:r>
              <w:rPr>
                <w:rFonts w:hint="eastAsia" w:ascii="仿宋_GB2312" w:hAnsi="Helvetica" w:eastAsia="仿宋_GB2312" w:cs="Helvetica"/>
                <w:color w:val="333333"/>
                <w:kern w:val="0"/>
                <w:sz w:val="24"/>
                <w:szCs w:val="24"/>
              </w:rPr>
              <w:t>专精特新发展类</w:t>
            </w:r>
          </w:p>
          <w:p>
            <w:pPr>
              <w:widowControl/>
              <w:spacing w:line="600" w:lineRule="exact"/>
              <w:jc w:val="center"/>
              <w:rPr>
                <w:rFonts w:ascii="仿宋_GB2312" w:hAnsi="Helvetica" w:eastAsia="仿宋_GB2312" w:cs="Helvetica"/>
                <w:color w:val="333333"/>
                <w:kern w:val="0"/>
                <w:sz w:val="24"/>
                <w:szCs w:val="24"/>
              </w:rPr>
            </w:pPr>
            <w:r>
              <w:rPr>
                <w:rFonts w:hint="eastAsia" w:ascii="仿宋_GB2312" w:hAnsi="Helvetica" w:eastAsia="仿宋_GB2312" w:cs="Helvetica"/>
                <w:color w:val="333333"/>
                <w:kern w:val="0"/>
                <w:sz w:val="24"/>
                <w:szCs w:val="24"/>
              </w:rPr>
              <w:t>项目</w:t>
            </w:r>
          </w:p>
        </w:tc>
        <w:tc>
          <w:tcPr>
            <w:tcW w:w="800"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仿宋_GB2312" w:hAnsi="Helvetica" w:eastAsia="仿宋_GB2312" w:cs="Helvetica"/>
                <w:color w:val="333333"/>
                <w:kern w:val="0"/>
                <w:sz w:val="24"/>
                <w:szCs w:val="24"/>
              </w:rPr>
            </w:pPr>
            <w:r>
              <w:rPr>
                <w:rFonts w:hint="eastAsia" w:ascii="仿宋_GB2312" w:hAnsi="Helvetica" w:eastAsia="仿宋_GB2312" w:cs="Helvetica"/>
                <w:color w:val="333333"/>
                <w:kern w:val="0"/>
                <w:sz w:val="24"/>
                <w:szCs w:val="24"/>
              </w:rPr>
              <w:t>35</w:t>
            </w:r>
          </w:p>
        </w:tc>
        <w:tc>
          <w:tcPr>
            <w:tcW w:w="1242"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仿宋_GB2312" w:hAnsi="Helvetica" w:eastAsia="仿宋_GB2312" w:cs="Helvetica"/>
                <w:color w:val="333333"/>
                <w:kern w:val="0"/>
                <w:sz w:val="24"/>
                <w:szCs w:val="24"/>
              </w:rPr>
            </w:pPr>
            <w:r>
              <w:rPr>
                <w:rFonts w:hint="eastAsia" w:ascii="仿宋_GB2312" w:hAnsi="Helvetica" w:eastAsia="仿宋_GB2312" w:cs="Helvetica"/>
                <w:color w:val="333333"/>
                <w:kern w:val="0"/>
                <w:sz w:val="24"/>
                <w:szCs w:val="24"/>
              </w:rPr>
              <w:t>已完成</w:t>
            </w:r>
          </w:p>
        </w:tc>
        <w:tc>
          <w:tcPr>
            <w:tcW w:w="1374" w:type="dxa"/>
            <w:tcBorders>
              <w:top w:val="single" w:color="auto" w:sz="4" w:space="0"/>
              <w:left w:val="single" w:color="auto" w:sz="4" w:space="0"/>
              <w:bottom w:val="single" w:color="auto" w:sz="4" w:space="0"/>
              <w:right w:val="single" w:color="auto" w:sz="4" w:space="0"/>
              <w:tl2br w:val="nil"/>
              <w:tr2bl w:val="nil"/>
            </w:tcBorders>
            <w:vAlign w:val="center"/>
          </w:tcPr>
          <w:p>
            <w:pPr>
              <w:widowControl/>
              <w:spacing w:line="600" w:lineRule="exact"/>
              <w:jc w:val="center"/>
              <w:rPr>
                <w:rFonts w:ascii="仿宋_GB2312" w:hAnsi="Helvetica" w:eastAsia="仿宋_GB2312" w:cs="Helvetica"/>
                <w:color w:val="333333"/>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94" w:type="dxa"/>
            <w:vAlign w:val="center"/>
          </w:tcPr>
          <w:p>
            <w:pPr>
              <w:widowControl/>
              <w:spacing w:line="600" w:lineRule="exact"/>
              <w:jc w:val="center"/>
              <w:rPr>
                <w:rFonts w:ascii="仿宋_GB2312" w:hAnsi="Helvetica" w:eastAsia="仿宋_GB2312" w:cs="Helvetica"/>
                <w:color w:val="333333"/>
                <w:kern w:val="0"/>
                <w:sz w:val="24"/>
                <w:szCs w:val="24"/>
              </w:rPr>
            </w:pPr>
            <w:r>
              <w:rPr>
                <w:rFonts w:hint="eastAsia" w:ascii="仿宋_GB2312" w:hAnsi="Helvetica" w:eastAsia="仿宋_GB2312" w:cs="Helvetica"/>
                <w:color w:val="333333"/>
                <w:kern w:val="0"/>
                <w:sz w:val="24"/>
                <w:szCs w:val="24"/>
              </w:rPr>
              <w:t>江华县</w:t>
            </w:r>
          </w:p>
        </w:tc>
        <w:tc>
          <w:tcPr>
            <w:tcW w:w="2193" w:type="dxa"/>
            <w:vAlign w:val="center"/>
          </w:tcPr>
          <w:p>
            <w:pPr>
              <w:widowControl/>
              <w:spacing w:line="600" w:lineRule="exact"/>
              <w:jc w:val="center"/>
              <w:rPr>
                <w:rFonts w:ascii="仿宋_GB2312" w:hAnsi="Helvetica" w:eastAsia="仿宋_GB2312" w:cs="Helvetica"/>
                <w:color w:val="333333"/>
                <w:kern w:val="0"/>
                <w:sz w:val="24"/>
                <w:szCs w:val="24"/>
              </w:rPr>
            </w:pPr>
            <w:r>
              <w:rPr>
                <w:rFonts w:ascii="仿宋_GB2312" w:hAnsi="Helvetica" w:eastAsia="仿宋_GB2312" w:cs="Helvetica"/>
                <w:color w:val="333333"/>
                <w:kern w:val="0"/>
                <w:sz w:val="24"/>
                <w:szCs w:val="24"/>
              </w:rPr>
              <w:t>永州市诺为企业咨询服务有限公司</w:t>
            </w:r>
          </w:p>
        </w:tc>
        <w:tc>
          <w:tcPr>
            <w:tcW w:w="2147" w:type="dxa"/>
            <w:vAlign w:val="center"/>
          </w:tcPr>
          <w:p>
            <w:pPr>
              <w:widowControl/>
              <w:spacing w:line="600" w:lineRule="exact"/>
              <w:jc w:val="center"/>
              <w:rPr>
                <w:rFonts w:ascii="仿宋_GB2312" w:hAnsi="Helvetica" w:eastAsia="仿宋_GB2312" w:cs="Helvetica"/>
                <w:color w:val="333333"/>
                <w:kern w:val="0"/>
                <w:sz w:val="24"/>
                <w:szCs w:val="24"/>
              </w:rPr>
            </w:pPr>
            <w:r>
              <w:rPr>
                <w:rFonts w:hint="eastAsia" w:ascii="仿宋_GB2312" w:hAnsi="Helvetica" w:eastAsia="仿宋_GB2312" w:cs="Helvetica"/>
                <w:color w:val="333333"/>
                <w:kern w:val="0"/>
                <w:sz w:val="24"/>
                <w:szCs w:val="24"/>
              </w:rPr>
              <w:t>完善服务体系类项目</w:t>
            </w:r>
          </w:p>
        </w:tc>
        <w:tc>
          <w:tcPr>
            <w:tcW w:w="800" w:type="dxa"/>
            <w:vAlign w:val="center"/>
          </w:tcPr>
          <w:p>
            <w:pPr>
              <w:widowControl/>
              <w:spacing w:line="600" w:lineRule="exact"/>
              <w:jc w:val="center"/>
              <w:rPr>
                <w:rFonts w:ascii="仿宋_GB2312" w:hAnsi="Helvetica" w:eastAsia="仿宋_GB2312" w:cs="Helvetica"/>
                <w:color w:val="333333"/>
                <w:kern w:val="0"/>
                <w:sz w:val="24"/>
                <w:szCs w:val="24"/>
              </w:rPr>
            </w:pPr>
            <w:r>
              <w:rPr>
                <w:rFonts w:hint="eastAsia" w:ascii="仿宋_GB2312" w:hAnsi="Helvetica" w:eastAsia="仿宋_GB2312" w:cs="Helvetica"/>
                <w:color w:val="333333"/>
                <w:kern w:val="0"/>
                <w:sz w:val="24"/>
                <w:szCs w:val="24"/>
              </w:rPr>
              <w:t>30</w:t>
            </w:r>
          </w:p>
        </w:tc>
        <w:tc>
          <w:tcPr>
            <w:tcW w:w="1242" w:type="dxa"/>
            <w:vAlign w:val="center"/>
          </w:tcPr>
          <w:p>
            <w:pPr>
              <w:widowControl/>
              <w:spacing w:line="600" w:lineRule="exact"/>
              <w:jc w:val="center"/>
              <w:rPr>
                <w:rFonts w:ascii="仿宋_GB2312" w:hAnsi="Helvetica" w:eastAsia="仿宋_GB2312" w:cs="Helvetica"/>
                <w:color w:val="333333"/>
                <w:kern w:val="0"/>
                <w:sz w:val="24"/>
                <w:szCs w:val="24"/>
              </w:rPr>
            </w:pPr>
            <w:r>
              <w:rPr>
                <w:rFonts w:hint="eastAsia" w:ascii="仿宋_GB2312" w:hAnsi="Helvetica" w:eastAsia="仿宋_GB2312" w:cs="Helvetica"/>
                <w:color w:val="333333"/>
                <w:kern w:val="0"/>
                <w:sz w:val="24"/>
                <w:szCs w:val="24"/>
              </w:rPr>
              <w:t>已完成</w:t>
            </w:r>
          </w:p>
        </w:tc>
        <w:tc>
          <w:tcPr>
            <w:tcW w:w="1374" w:type="dxa"/>
            <w:vAlign w:val="center"/>
          </w:tcPr>
          <w:p>
            <w:pPr>
              <w:widowControl/>
              <w:spacing w:line="600" w:lineRule="exact"/>
              <w:jc w:val="center"/>
              <w:rPr>
                <w:rFonts w:ascii="仿宋_GB2312" w:hAnsi="Helvetica" w:eastAsia="仿宋_GB2312" w:cs="Helvetica"/>
                <w:color w:val="333333"/>
                <w:kern w:val="0"/>
                <w:sz w:val="24"/>
                <w:szCs w:val="24"/>
              </w:rPr>
            </w:pPr>
          </w:p>
        </w:tc>
      </w:tr>
    </w:tbl>
    <w:p>
      <w:pPr>
        <w:widowControl/>
        <w:shd w:val="clear" w:color="auto" w:fill="FFFFFF"/>
        <w:suppressAutoHyphens/>
        <w:spacing w:line="600" w:lineRule="exact"/>
        <w:ind w:firstLine="643" w:firstLineChars="200"/>
        <w:jc w:val="left"/>
        <w:rPr>
          <w:rFonts w:ascii="仿宋_GB2312" w:hAnsi="Helvetica" w:eastAsia="仿宋_GB2312" w:cs="Helvetica"/>
          <w:b/>
          <w:bCs/>
          <w:color w:val="333333"/>
          <w:kern w:val="0"/>
          <w:sz w:val="32"/>
          <w:szCs w:val="32"/>
        </w:rPr>
      </w:pPr>
      <w:r>
        <w:rPr>
          <w:rFonts w:hint="eastAsia" w:ascii="仿宋_GB2312" w:hAnsi="Helvetica" w:eastAsia="仿宋_GB2312" w:cs="Helvetica"/>
          <w:b/>
          <w:bCs/>
          <w:color w:val="333333"/>
          <w:kern w:val="0"/>
          <w:sz w:val="32"/>
          <w:szCs w:val="32"/>
        </w:rPr>
        <w:t>二、本地区专项资金使用整体绩效情况</w:t>
      </w:r>
    </w:p>
    <w:p>
      <w:pPr>
        <w:widowControl/>
        <w:shd w:val="clear" w:color="auto" w:fill="FFFFFF"/>
        <w:spacing w:line="600" w:lineRule="exact"/>
        <w:ind w:firstLine="321" w:firstLineChars="100"/>
        <w:jc w:val="left"/>
        <w:rPr>
          <w:rFonts w:ascii="仿宋_GB2312" w:eastAsia="仿宋_GB2312" w:cs="Helvetica"/>
          <w:color w:val="333333"/>
          <w:kern w:val="0"/>
          <w:sz w:val="32"/>
          <w:szCs w:val="32"/>
        </w:rPr>
      </w:pPr>
      <w:r>
        <w:rPr>
          <w:rFonts w:ascii="仿宋_GB2312" w:eastAsia="仿宋_GB2312" w:cs="Helvetica"/>
          <w:b/>
          <w:bCs/>
          <w:color w:val="333333"/>
          <w:kern w:val="0"/>
          <w:sz w:val="32"/>
          <w:szCs w:val="32"/>
        </w:rPr>
        <w:t xml:space="preserve">  </w:t>
      </w:r>
      <w:r>
        <w:rPr>
          <w:rFonts w:hint="eastAsia" w:ascii="仿宋_GB2312" w:eastAsia="仿宋_GB2312" w:cs="Helvetica"/>
          <w:b/>
          <w:bCs/>
          <w:color w:val="333333"/>
          <w:kern w:val="0"/>
          <w:sz w:val="32"/>
          <w:szCs w:val="32"/>
        </w:rPr>
        <w:t>（一）专项资金预期目标完成程度</w:t>
      </w:r>
    </w:p>
    <w:p>
      <w:pPr>
        <w:widowControl/>
        <w:shd w:val="clear" w:color="auto" w:fill="FFFFFF"/>
        <w:spacing w:line="580" w:lineRule="exact"/>
        <w:ind w:firstLine="640" w:firstLineChars="200"/>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积极动员组织企业申报项目，今年来我县4个项目申报2023年湖南省中小企业专项资金，共获批专项资金100万元，专项资金在引导本地区加大技术改造和研发创新投入、壮大企业规模，增强核心竞争力，促进本地区工业投资增长，产业结构调整、科研成果转化、经济总量提升、新兴产业培育发展、传统产业转型升级等方面作用明显。更好保证企业可持续发展带动项目产业整体效益，促进工业经济结构调整，预期目标基本完成。</w:t>
      </w:r>
    </w:p>
    <w:p>
      <w:pPr>
        <w:widowControl/>
        <w:shd w:val="clear" w:color="auto" w:fill="FFFFFF"/>
        <w:spacing w:line="600" w:lineRule="exact"/>
        <w:ind w:firstLine="321" w:firstLineChars="100"/>
        <w:jc w:val="left"/>
        <w:rPr>
          <w:rFonts w:ascii="仿宋_GB2312" w:eastAsia="仿宋_GB2312" w:cs="Helvetica"/>
          <w:color w:val="333333"/>
          <w:kern w:val="0"/>
          <w:sz w:val="32"/>
          <w:szCs w:val="32"/>
        </w:rPr>
      </w:pPr>
      <w:r>
        <w:rPr>
          <w:rFonts w:ascii="仿宋_GB2312" w:eastAsia="仿宋_GB2312" w:cs="Helvetica"/>
          <w:b/>
          <w:bCs/>
          <w:color w:val="333333"/>
          <w:kern w:val="0"/>
          <w:sz w:val="32"/>
          <w:szCs w:val="32"/>
        </w:rPr>
        <w:t xml:space="preserve">  </w:t>
      </w:r>
      <w:r>
        <w:rPr>
          <w:rFonts w:hint="eastAsia" w:ascii="仿宋_GB2312" w:eastAsia="仿宋_GB2312" w:cs="Helvetica"/>
          <w:b/>
          <w:bCs/>
          <w:color w:val="333333"/>
          <w:kern w:val="0"/>
          <w:sz w:val="32"/>
          <w:szCs w:val="32"/>
        </w:rPr>
        <w:t>（二）专项资金管理水平</w:t>
      </w:r>
    </w:p>
    <w:p>
      <w:pPr>
        <w:widowControl/>
        <w:shd w:val="clear" w:color="auto" w:fill="FFFFFF"/>
        <w:spacing w:line="580" w:lineRule="exact"/>
        <w:ind w:firstLine="640" w:firstLineChars="200"/>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我县严格按照专项资金管理办法，对项目资金的管理到位，实行专账管理。遵循科学规范原则，注重专项资金使用的经济性、效益性和效率性，严格执行规定程序。将管理贯穿于财政专项资金预算的各个环节，涵盖专项资金项目实施的事前、事中、事后全过程；秉承公正公开原则，在专项项目中建立工作群，对项目的资金的开支情况及完成情况能够及时调度，并针对企业进行一对一的协调，帮助企业解决实际性的问题，专项资金管理符合真实、客观、公正要求，依法公开并接受监督。</w:t>
      </w:r>
    </w:p>
    <w:p>
      <w:pPr>
        <w:widowControl/>
        <w:shd w:val="clear" w:color="auto" w:fill="FFFFFF"/>
        <w:suppressAutoHyphens/>
        <w:spacing w:line="600" w:lineRule="exact"/>
        <w:ind w:firstLine="643" w:firstLineChars="200"/>
        <w:jc w:val="left"/>
        <w:rPr>
          <w:rFonts w:ascii="仿宋_GB2312" w:hAnsi="Helvetica" w:eastAsia="仿宋_GB2312" w:cs="Helvetica"/>
          <w:b/>
          <w:bCs/>
          <w:color w:val="333333"/>
          <w:kern w:val="0"/>
          <w:sz w:val="32"/>
          <w:szCs w:val="32"/>
        </w:rPr>
      </w:pPr>
      <w:r>
        <w:rPr>
          <w:rFonts w:hint="eastAsia" w:ascii="仿宋_GB2312" w:hAnsi="Helvetica" w:eastAsia="仿宋_GB2312" w:cs="Helvetica"/>
          <w:b/>
          <w:bCs/>
          <w:color w:val="333333"/>
          <w:kern w:val="0"/>
          <w:sz w:val="32"/>
          <w:szCs w:val="32"/>
        </w:rPr>
        <w:t>三、项目单位的专项资金使用绩效</w:t>
      </w:r>
    </w:p>
    <w:p>
      <w:pPr>
        <w:widowControl/>
        <w:shd w:val="clear" w:color="auto" w:fill="FFFFFF"/>
        <w:spacing w:line="600" w:lineRule="exact"/>
        <w:ind w:firstLine="321" w:firstLineChars="100"/>
        <w:jc w:val="left"/>
        <w:rPr>
          <w:rFonts w:ascii="仿宋_GB2312" w:eastAsia="仿宋_GB2312" w:cs="Helvetica"/>
          <w:color w:val="333333"/>
          <w:kern w:val="0"/>
          <w:sz w:val="32"/>
          <w:szCs w:val="32"/>
        </w:rPr>
      </w:pPr>
      <w:r>
        <w:rPr>
          <w:rFonts w:ascii="仿宋_GB2312" w:eastAsia="仿宋_GB2312" w:cs="Helvetica"/>
          <w:b/>
          <w:bCs/>
          <w:color w:val="333333"/>
          <w:kern w:val="0"/>
          <w:sz w:val="32"/>
          <w:szCs w:val="32"/>
        </w:rPr>
        <w:t xml:space="preserve">  </w:t>
      </w:r>
      <w:r>
        <w:rPr>
          <w:rFonts w:hint="eastAsia" w:ascii="仿宋_GB2312" w:eastAsia="仿宋_GB2312" w:cs="Helvetica"/>
          <w:b/>
          <w:bCs/>
          <w:color w:val="333333"/>
          <w:kern w:val="0"/>
          <w:sz w:val="32"/>
          <w:szCs w:val="32"/>
        </w:rPr>
        <w:t>（一）资金落实及支出情况</w:t>
      </w:r>
    </w:p>
    <w:p>
      <w:pPr>
        <w:widowControl/>
        <w:shd w:val="clear" w:color="auto" w:fill="FFFFFF"/>
        <w:spacing w:line="580" w:lineRule="exact"/>
        <w:ind w:firstLine="640" w:firstLineChars="200"/>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1.资金落实情况。2023年江华县3个项目共获得中小企业发展专项资金100万元、到位率100%，其中湖南泉想湖智能科技有限公司的3D曲面电子显示屏保护膜的研发及产业化项目、湖南龙德晟机电科技有限公司的智能家居用微型电机生产线智能化升级改造项目和永州市诺为企业咨询服务有限公司服务业务补助项目资金共计100万元于2023 年11月拨付到位，项目单位的自筹资金都已到位。</w:t>
      </w:r>
    </w:p>
    <w:p>
      <w:pPr>
        <w:widowControl/>
        <w:shd w:val="clear" w:color="auto" w:fill="FFFFFF"/>
        <w:spacing w:line="580" w:lineRule="exact"/>
        <w:ind w:firstLine="640" w:firstLineChars="200"/>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2.专项资金支出情况。项目单位的专项资金整体支出进度、支出范围与申报计划相符，专项资金做到专款专用、支出合理合规，项目单位的财务管理制度健全、财务资料、账务处理较规范。</w:t>
      </w:r>
    </w:p>
    <w:p>
      <w:pPr>
        <w:widowControl/>
        <w:shd w:val="clear" w:color="auto" w:fill="FFFFFF"/>
        <w:spacing w:line="600" w:lineRule="exact"/>
        <w:ind w:firstLine="643" w:firstLineChars="200"/>
        <w:jc w:val="left"/>
        <w:rPr>
          <w:rFonts w:ascii="仿宋_GB2312" w:eastAsia="仿宋_GB2312" w:cs="Helvetica"/>
          <w:color w:val="333333"/>
          <w:kern w:val="0"/>
          <w:sz w:val="32"/>
          <w:szCs w:val="32"/>
        </w:rPr>
      </w:pPr>
      <w:r>
        <w:rPr>
          <w:rFonts w:hint="eastAsia" w:ascii="仿宋_GB2312" w:eastAsia="仿宋_GB2312" w:cs="Helvetica"/>
          <w:b/>
          <w:bCs/>
          <w:color w:val="333333"/>
          <w:kern w:val="0"/>
          <w:sz w:val="32"/>
          <w:szCs w:val="32"/>
        </w:rPr>
        <w:t>（二）项目实施过程情况</w:t>
      </w:r>
    </w:p>
    <w:p>
      <w:pPr>
        <w:widowControl/>
        <w:shd w:val="clear" w:color="auto" w:fill="FFFFFF"/>
        <w:spacing w:line="580" w:lineRule="exact"/>
        <w:ind w:firstLine="640" w:firstLineChars="200"/>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1.项目立项论证的充分性。项目单位申报资格合规、申报材料客观真实、申报项目与有关规定相符。</w:t>
      </w:r>
    </w:p>
    <w:p>
      <w:pPr>
        <w:widowControl/>
        <w:shd w:val="clear" w:color="auto" w:fill="FFFFFF"/>
        <w:spacing w:line="580" w:lineRule="exact"/>
        <w:ind w:firstLine="640" w:firstLineChars="200"/>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2.项目实施的规范性。项目单位建立有比较健全的项目建设管理制度，项目实施支撑条件具备，项目推进完成按计划实施。</w:t>
      </w:r>
    </w:p>
    <w:p>
      <w:pPr>
        <w:widowControl/>
        <w:shd w:val="clear" w:color="auto" w:fill="FFFFFF"/>
        <w:spacing w:line="600" w:lineRule="exact"/>
        <w:ind w:firstLine="643" w:firstLineChars="200"/>
        <w:jc w:val="left"/>
        <w:rPr>
          <w:rFonts w:ascii="仿宋_GB2312" w:eastAsia="仿宋_GB2312" w:cs="Helvetica"/>
          <w:color w:val="333333"/>
          <w:kern w:val="0"/>
          <w:sz w:val="32"/>
          <w:szCs w:val="32"/>
        </w:rPr>
      </w:pPr>
      <w:r>
        <w:rPr>
          <w:rFonts w:hint="eastAsia" w:ascii="仿宋_GB2312" w:eastAsia="仿宋_GB2312" w:cs="Helvetica"/>
          <w:b/>
          <w:bCs/>
          <w:color w:val="333333"/>
          <w:kern w:val="0"/>
          <w:sz w:val="32"/>
          <w:szCs w:val="32"/>
        </w:rPr>
        <w:t>（三）项目预期目标完成情况</w:t>
      </w:r>
    </w:p>
    <w:p>
      <w:pPr>
        <w:widowControl/>
        <w:shd w:val="clear" w:color="auto" w:fill="FFFFFF"/>
        <w:spacing w:line="580" w:lineRule="exact"/>
        <w:ind w:firstLine="640" w:firstLineChars="200"/>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获得支持的项目都按期、按标准的完成了或正在完成各项建设，项目在建成后已取得了很好的社会效益和经济效益，一方面为我县工业经济持续稳定增长做出了贡献；另一方面增加就业岗位，取得了很好的社会效益，同时带动上下游产业的健康稳定发展。</w:t>
      </w:r>
    </w:p>
    <w:p>
      <w:pPr>
        <w:widowControl/>
        <w:numPr>
          <w:ilvl w:val="0"/>
          <w:numId w:val="2"/>
        </w:numPr>
        <w:shd w:val="clear" w:color="auto" w:fill="FFFFFF"/>
        <w:suppressAutoHyphens/>
        <w:spacing w:line="600" w:lineRule="exact"/>
        <w:ind w:firstLine="643" w:firstLineChars="200"/>
        <w:jc w:val="left"/>
        <w:rPr>
          <w:rFonts w:ascii="仿宋_GB2312" w:hAnsi="Helvetica" w:eastAsia="仿宋_GB2312" w:cs="Helvetica"/>
          <w:b/>
          <w:bCs/>
          <w:color w:val="333333"/>
          <w:kern w:val="0"/>
          <w:sz w:val="32"/>
          <w:szCs w:val="32"/>
        </w:rPr>
      </w:pPr>
      <w:r>
        <w:rPr>
          <w:rFonts w:hint="eastAsia" w:ascii="仿宋_GB2312" w:hAnsi="Helvetica" w:eastAsia="仿宋_GB2312" w:cs="Helvetica"/>
          <w:b/>
          <w:bCs/>
          <w:color w:val="333333"/>
          <w:kern w:val="0"/>
          <w:sz w:val="32"/>
          <w:szCs w:val="32"/>
        </w:rPr>
        <w:t>项目后续工作计划</w:t>
      </w:r>
    </w:p>
    <w:p>
      <w:pPr>
        <w:widowControl/>
        <w:shd w:val="clear" w:color="auto" w:fill="FFFFFF"/>
        <w:spacing w:line="580" w:lineRule="exact"/>
        <w:ind w:firstLine="640" w:firstLineChars="200"/>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为做好下一阶段中小企业服务工作，围绕“三高四新”总基调，持续开展专精特新中小企业和“小巨人”企业培育，引导企业专精特新发展，健全中小企业品牌培育机制，打造一批“湖湘精品”品牌，提升中小企业专业化水平和能力，为打造国家重要先进制造业高地贡献力量，继续推进新型工业化大突破，突出抓好产业发展、协调服务、两化融合等重点工作，力求在产业引导、工业招商、破解难题上有新突破，推动全县工业经济平稳快速发展。</w:t>
      </w:r>
    </w:p>
    <w:p>
      <w:pPr>
        <w:widowControl/>
        <w:shd w:val="clear" w:color="auto" w:fill="FFFFFF"/>
        <w:spacing w:line="580" w:lineRule="exact"/>
        <w:ind w:firstLine="643" w:firstLineChars="200"/>
        <w:jc w:val="left"/>
        <w:rPr>
          <w:rFonts w:ascii="仿宋_GB2312" w:hAnsi="Helvetica" w:eastAsia="仿宋_GB2312" w:cs="Helvetica"/>
          <w:b/>
          <w:bCs/>
          <w:color w:val="333333"/>
          <w:kern w:val="0"/>
          <w:sz w:val="32"/>
          <w:szCs w:val="32"/>
        </w:rPr>
      </w:pPr>
      <w:r>
        <w:rPr>
          <w:rFonts w:hint="eastAsia" w:ascii="仿宋_GB2312" w:hAnsi="Helvetica" w:eastAsia="仿宋_GB2312" w:cs="Helvetica"/>
          <w:b/>
          <w:bCs/>
          <w:color w:val="333333"/>
          <w:kern w:val="0"/>
          <w:sz w:val="32"/>
          <w:szCs w:val="32"/>
        </w:rPr>
        <w:t>五、主要经验做法、存在问题、改进措施和建议</w:t>
      </w:r>
    </w:p>
    <w:p>
      <w:pPr>
        <w:widowControl/>
        <w:shd w:val="clear" w:color="auto" w:fill="FFFFFF"/>
        <w:spacing w:line="580" w:lineRule="exact"/>
        <w:ind w:firstLine="640" w:firstLineChars="200"/>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1.项目单位会计核算欠规范，会计核算方式未能直观反映项目支出的具体明细，需结合其他附件资料进行分析评价。</w:t>
      </w:r>
    </w:p>
    <w:p>
      <w:pPr>
        <w:widowControl/>
        <w:shd w:val="clear" w:color="auto" w:fill="FFFFFF"/>
        <w:spacing w:line="580" w:lineRule="exact"/>
        <w:ind w:firstLine="640" w:firstLineChars="200"/>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2.必须要有强有力的项目管理人员对项目进行实时监控，遇到问题及时提出，调度各方资源及时解决问题，将问题在出现初期尽早解决。同时项目单位的各方面建设制度必须完善，让项目实施过程中做到"有法可依"，“有章可循"。</w:t>
      </w:r>
    </w:p>
    <w:p>
      <w:pPr>
        <w:widowControl/>
        <w:shd w:val="clear" w:color="auto" w:fill="FFFFFF"/>
        <w:spacing w:line="580" w:lineRule="exact"/>
        <w:ind w:firstLine="640" w:firstLineChars="200"/>
        <w:jc w:val="left"/>
        <w:rPr>
          <w:rFonts w:ascii="仿宋_GB2312" w:hAnsi="Helvetica" w:eastAsia="仿宋_GB2312" w:cs="Helvetica"/>
          <w:kern w:val="0"/>
          <w:sz w:val="32"/>
          <w:szCs w:val="32"/>
        </w:rPr>
      </w:pPr>
      <w:r>
        <w:rPr>
          <w:rFonts w:hint="eastAsia" w:ascii="仿宋_GB2312" w:hAnsi="Helvetica" w:eastAsia="仿宋_GB2312" w:cs="Helvetica"/>
          <w:kern w:val="0"/>
          <w:sz w:val="32"/>
          <w:szCs w:val="32"/>
        </w:rPr>
        <w:t>3.项目申报过程中，因为对公司的财务数据和预期经济效益存在预估的情况，因此项目申请资料中所填报的财务数据与公司未来实际的经营情况存在部分差异，应以公司的实际经营财务数据为准。</w:t>
      </w:r>
    </w:p>
    <w:p>
      <w:pPr>
        <w:widowControl/>
        <w:shd w:val="clear" w:color="auto" w:fill="FFFFFF"/>
        <w:spacing w:line="580" w:lineRule="exact"/>
        <w:ind w:firstLine="640" w:firstLineChars="200"/>
        <w:jc w:val="center"/>
        <w:rPr>
          <w:rFonts w:ascii="仿宋_GB2312" w:hAnsi="Helvetica" w:eastAsia="仿宋_GB2312" w:cs="Helvetica"/>
          <w:kern w:val="0"/>
          <w:sz w:val="32"/>
          <w:szCs w:val="32"/>
        </w:rPr>
      </w:pPr>
      <w:bookmarkStart w:id="0" w:name="_GoBack"/>
      <w:bookmarkEnd w:id="0"/>
    </w:p>
    <w:p>
      <w:pPr>
        <w:widowControl/>
        <w:shd w:val="clear" w:color="auto" w:fill="FFFFFF"/>
        <w:spacing w:line="580" w:lineRule="exact"/>
        <w:rPr>
          <w:rFonts w:ascii="仿宋_GB2312" w:hAnsi="Helvetica" w:eastAsia="仿宋_GB2312" w:cs="Helvetica"/>
          <w:kern w:val="0"/>
          <w:sz w:val="32"/>
          <w:szCs w:val="32"/>
        </w:rPr>
      </w:pPr>
    </w:p>
    <w:p/>
    <w:p>
      <w:pPr>
        <w:pStyle w:val="2"/>
      </w:pPr>
    </w:p>
    <w:p>
      <w:pPr>
        <w:widowControl/>
        <w:shd w:val="clear" w:color="auto" w:fill="FFFFFF"/>
        <w:spacing w:line="580" w:lineRule="exact"/>
        <w:ind w:firstLine="640" w:firstLineChars="200"/>
        <w:jc w:val="center"/>
        <w:rPr>
          <w:rFonts w:ascii="仿宋_GB2312" w:hAnsi="Helvetica" w:eastAsia="仿宋_GB2312" w:cs="Helvetica"/>
          <w:kern w:val="0"/>
          <w:sz w:val="32"/>
          <w:szCs w:val="32"/>
        </w:rPr>
      </w:pPr>
      <w:r>
        <w:rPr>
          <w:rFonts w:hint="eastAsia" w:ascii="仿宋_GB2312" w:hAnsi="Helvetica" w:eastAsia="仿宋_GB2312" w:cs="Helvetica"/>
          <w:kern w:val="0"/>
          <w:sz w:val="32"/>
          <w:szCs w:val="32"/>
        </w:rPr>
        <w:t xml:space="preserve">               江华瑶族自治县科技和工业信息化局</w:t>
      </w:r>
    </w:p>
    <w:p>
      <w:pPr>
        <w:widowControl/>
        <w:shd w:val="clear" w:color="auto" w:fill="FFFFFF"/>
        <w:spacing w:line="580" w:lineRule="exact"/>
        <w:ind w:firstLine="640" w:firstLineChars="200"/>
        <w:jc w:val="center"/>
      </w:pPr>
      <w:r>
        <w:rPr>
          <w:rFonts w:hint="eastAsia" w:ascii="仿宋_GB2312" w:hAnsi="Helvetica" w:eastAsia="仿宋_GB2312" w:cs="Helvetica"/>
          <w:kern w:val="0"/>
          <w:sz w:val="32"/>
          <w:szCs w:val="32"/>
        </w:rPr>
        <w:t xml:space="preserve">                </w:t>
      </w:r>
      <w:r>
        <w:rPr>
          <w:rFonts w:hint="eastAsia" w:ascii="仿宋_GB2312" w:hAnsi="Helvetica" w:eastAsia="仿宋_GB2312" w:cs="Helvetica"/>
          <w:kern w:val="0"/>
          <w:sz w:val="32"/>
          <w:szCs w:val="32"/>
          <w:lang w:val="en-US" w:eastAsia="zh-CN"/>
        </w:rPr>
        <w:t xml:space="preserve">      </w:t>
      </w:r>
      <w:r>
        <w:rPr>
          <w:rFonts w:hint="eastAsia" w:ascii="仿宋_GB2312" w:hAnsi="Helvetica" w:eastAsia="仿宋_GB2312" w:cs="Helvetica"/>
          <w:kern w:val="0"/>
          <w:sz w:val="32"/>
          <w:szCs w:val="32"/>
        </w:rPr>
        <w:t xml:space="preserve"> 2024年 5月 15 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Luxi Sans">
    <w:altName w:val="Segoe Print"/>
    <w:panose1 w:val="00000000000000000000"/>
    <w:charset w:val="00"/>
    <w:family w:val="auto"/>
    <w:pitch w:val="default"/>
    <w:sig w:usb0="00000000" w:usb1="00000000" w:usb2="00000000" w:usb3="00000000" w:csb0="00000000" w:csb1="00000000"/>
  </w:font>
  <w:font w:name="Cambria">
    <w:panose1 w:val="02040503050406030204"/>
    <w:charset w:val="00"/>
    <w:family w:val="roman"/>
    <w:pitch w:val="default"/>
    <w:sig w:usb0="E00002FF" w:usb1="400004FF" w:usb2="00000000" w:usb3="00000000" w:csb0="2000019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Helvetica">
    <w:altName w:val="Arial"/>
    <w:panose1 w:val="020B05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3CA907"/>
    <w:multiLevelType w:val="singleLevel"/>
    <w:tmpl w:val="F93CA907"/>
    <w:lvl w:ilvl="0" w:tentative="0">
      <w:start w:val="4"/>
      <w:numFmt w:val="chineseCounting"/>
      <w:suff w:val="nothing"/>
      <w:lvlText w:val="%1、"/>
      <w:lvlJc w:val="left"/>
      <w:rPr>
        <w:rFonts w:hint="eastAsia"/>
      </w:rPr>
    </w:lvl>
  </w:abstractNum>
  <w:abstractNum w:abstractNumId="1">
    <w:nsid w:val="76D65067"/>
    <w:multiLevelType w:val="singleLevel"/>
    <w:tmpl w:val="76D6506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useFELayout/>
    <w:compatSetting w:name="compatibilityMode" w:uri="http://schemas.microsoft.com/office/word" w:val="12"/>
  </w:compat>
  <w:docVars>
    <w:docVar w:name="commondata" w:val="eyJoZGlkIjoiNGQzNjIyYzdmYzYxNWFlZjEwYTk0MTc2MzE3NDU5OWQifQ=="/>
  </w:docVars>
  <w:rsids>
    <w:rsidRoot w:val="00635027"/>
    <w:rsid w:val="0023602F"/>
    <w:rsid w:val="005C4D59"/>
    <w:rsid w:val="00635027"/>
    <w:rsid w:val="00666C7F"/>
    <w:rsid w:val="008F7330"/>
    <w:rsid w:val="009C6033"/>
    <w:rsid w:val="00A062D3"/>
    <w:rsid w:val="00C2664C"/>
    <w:rsid w:val="00C52A88"/>
    <w:rsid w:val="10632FCA"/>
    <w:rsid w:val="13297E98"/>
    <w:rsid w:val="1BCC52C5"/>
    <w:rsid w:val="1D717C2F"/>
    <w:rsid w:val="32BB6DE3"/>
    <w:rsid w:val="351006CF"/>
    <w:rsid w:val="3DBF5F99"/>
    <w:rsid w:val="3FF22162"/>
    <w:rsid w:val="432B1FBF"/>
    <w:rsid w:val="435672FF"/>
    <w:rsid w:val="45B95404"/>
    <w:rsid w:val="4E7C5AD8"/>
    <w:rsid w:val="4EF10A18"/>
    <w:rsid w:val="500726F3"/>
    <w:rsid w:val="5666669C"/>
    <w:rsid w:val="5DFB0858"/>
    <w:rsid w:val="5F951BBB"/>
    <w:rsid w:val="70BB1864"/>
    <w:rsid w:val="73957B92"/>
    <w:rsid w:val="74B52066"/>
    <w:rsid w:val="777B2408"/>
    <w:rsid w:val="783B7D77"/>
    <w:rsid w:val="7B0FEBF7"/>
    <w:rsid w:val="7B2E0096"/>
    <w:rsid w:val="7CF624BE"/>
    <w:rsid w:val="7E2876B6"/>
    <w:rsid w:val="7E7F1BFD"/>
    <w:rsid w:val="7F5F635C"/>
    <w:rsid w:val="7F7F419D"/>
    <w:rsid w:val="7FF7F688"/>
    <w:rsid w:val="BFDB09D8"/>
    <w:rsid w:val="DFEFB56F"/>
    <w:rsid w:val="FBDED53F"/>
    <w:rsid w:val="FF2FB5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autoRedefine/>
    <w:qFormat/>
    <w:uiPriority w:val="0"/>
    <w:pPr>
      <w:keepNext/>
      <w:keepLines/>
      <w:spacing w:before="340" w:after="330" w:line="578" w:lineRule="auto"/>
      <w:outlineLvl w:val="0"/>
    </w:pPr>
    <w:rPr>
      <w:b/>
      <w:bCs/>
      <w:kern w:val="44"/>
      <w:sz w:val="44"/>
    </w:rPr>
  </w:style>
  <w:style w:type="paragraph" w:styleId="4">
    <w:name w:val="heading 2"/>
    <w:basedOn w:val="1"/>
    <w:next w:val="1"/>
    <w:autoRedefine/>
    <w:qFormat/>
    <w:uiPriority w:val="0"/>
    <w:pPr>
      <w:keepNext/>
      <w:keepLines/>
      <w:spacing w:before="260" w:after="260" w:line="415" w:lineRule="auto"/>
      <w:outlineLvl w:val="1"/>
    </w:pPr>
    <w:rPr>
      <w:rFonts w:ascii="Luxi Sans" w:hAnsi="Luxi Sans" w:eastAsia="黑体"/>
      <w:b/>
      <w:sz w:val="32"/>
    </w:rPr>
  </w:style>
  <w:style w:type="paragraph" w:styleId="5">
    <w:name w:val="heading 3"/>
    <w:basedOn w:val="1"/>
    <w:next w:val="1"/>
    <w:autoRedefine/>
    <w:qFormat/>
    <w:uiPriority w:val="0"/>
    <w:pPr>
      <w:keepNext/>
      <w:keepLines/>
      <w:spacing w:before="260" w:after="260" w:line="415" w:lineRule="auto"/>
      <w:outlineLvl w:val="2"/>
    </w:pPr>
    <w:rPr>
      <w:b/>
      <w:sz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Subtitle"/>
    <w:basedOn w:val="1"/>
    <w:next w:val="1"/>
    <w:autoRedefine/>
    <w:qFormat/>
    <w:uiPriority w:val="11"/>
    <w:pPr>
      <w:spacing w:before="240" w:after="60" w:line="312" w:lineRule="auto"/>
      <w:jc w:val="center"/>
      <w:outlineLvl w:val="1"/>
    </w:pPr>
    <w:rPr>
      <w:rFonts w:ascii="Cambria" w:hAnsi="Cambria"/>
      <w:b/>
      <w:bCs/>
      <w:kern w:val="28"/>
      <w:szCs w:val="32"/>
    </w:rPr>
  </w:style>
  <w:style w:type="paragraph" w:styleId="6">
    <w:name w:val="Body Text"/>
    <w:basedOn w:val="1"/>
    <w:next w:val="7"/>
    <w:autoRedefine/>
    <w:unhideWhenUsed/>
    <w:qFormat/>
    <w:uiPriority w:val="99"/>
    <w:pPr>
      <w:spacing w:after="120"/>
    </w:pPr>
  </w:style>
  <w:style w:type="paragraph" w:styleId="7">
    <w:name w:val="Title"/>
    <w:basedOn w:val="1"/>
    <w:next w:val="1"/>
    <w:autoRedefine/>
    <w:qFormat/>
    <w:uiPriority w:val="0"/>
    <w:pPr>
      <w:jc w:val="center"/>
      <w:outlineLvl w:val="0"/>
    </w:pPr>
    <w:rPr>
      <w:rFonts w:ascii="方正小标宋_GBK" w:hAnsi="方正小标宋_GBK" w:eastAsia="方正小标宋_GBK" w:cs="方正小标宋_GBK"/>
      <w:sz w:val="44"/>
      <w:szCs w:val="44"/>
    </w:rPr>
  </w:style>
  <w:style w:type="paragraph" w:styleId="8">
    <w:name w:val="Balloon Text"/>
    <w:basedOn w:val="1"/>
    <w:autoRedefine/>
    <w:qFormat/>
    <w:uiPriority w:val="0"/>
    <w:rPr>
      <w:sz w:val="18"/>
      <w:szCs w:val="18"/>
    </w:rPr>
  </w:style>
  <w:style w:type="paragraph" w:styleId="9">
    <w:name w:val="footer"/>
    <w:basedOn w:val="1"/>
    <w:autoRedefine/>
    <w:qFormat/>
    <w:uiPriority w:val="0"/>
    <w:pPr>
      <w:tabs>
        <w:tab w:val="center" w:pos="4153"/>
        <w:tab w:val="right" w:pos="8306"/>
      </w:tabs>
      <w:snapToGrid w:val="0"/>
      <w:jc w:val="left"/>
    </w:pPr>
    <w:rPr>
      <w:sz w:val="18"/>
      <w:szCs w:val="18"/>
    </w:rPr>
  </w:style>
  <w:style w:type="paragraph" w:styleId="10">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table" w:styleId="12">
    <w:name w:val="Table Grid"/>
    <w:basedOn w:val="11"/>
    <w:autoRedefine/>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4">
    <w:name w:val="页眉 Char"/>
    <w:basedOn w:val="13"/>
    <w:autoRedefine/>
    <w:qFormat/>
    <w:uiPriority w:val="0"/>
    <w:rPr>
      <w:rFonts w:cs="Times New Roman"/>
      <w:sz w:val="18"/>
      <w:szCs w:val="18"/>
    </w:rPr>
  </w:style>
  <w:style w:type="character" w:customStyle="1" w:styleId="15">
    <w:name w:val="页脚 Char"/>
    <w:basedOn w:val="13"/>
    <w:autoRedefine/>
    <w:qFormat/>
    <w:uiPriority w:val="0"/>
    <w:rPr>
      <w:rFonts w:cs="Times New Roman"/>
      <w:sz w:val="18"/>
      <w:szCs w:val="18"/>
    </w:rPr>
  </w:style>
  <w:style w:type="paragraph" w:customStyle="1" w:styleId="16">
    <w:name w:val="Heading1"/>
    <w:basedOn w:val="1"/>
    <w:next w:val="1"/>
    <w:autoRedefine/>
    <w:qFormat/>
    <w:uiPriority w:val="0"/>
    <w:pPr>
      <w:keepNext/>
      <w:keepLines/>
      <w:spacing w:before="340" w:after="330" w:line="578" w:lineRule="auto"/>
      <w:textAlignment w:val="baseline"/>
    </w:pPr>
    <w:rPr>
      <w:rFonts w:eastAsia="仿宋_GB2312"/>
      <w:b/>
      <w:bCs/>
      <w:kern w:val="44"/>
      <w:sz w:val="4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Pages>
  <Words>2362</Words>
  <Characters>2478</Characters>
  <Lines>18</Lines>
  <Paragraphs>5</Paragraphs>
  <TotalTime>194</TotalTime>
  <ScaleCrop>false</ScaleCrop>
  <LinksUpToDate>false</LinksUpToDate>
  <CharactersWithSpaces>2521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2022-03-22T00:18:00Z</dcterms:created>
  <dc:creator>lenovo</dc:creator>
  <cp:lastModifiedBy>Administrator</cp:lastModifiedBy>
  <dcterms:modified xsi:type="dcterms:W3CDTF">2024-06-19T08:40:52Z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F3FE5E496BE748BF8C466C80F2AEE549</vt:lpwstr>
  </property>
</Properties>
</file>