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桥市乡人民政府202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党管武装</w:t>
      </w:r>
    </w:p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工作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经费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专项资金绩效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下设有党政综合办公室、基层党建办公室、经济发展办公室、社会事务办公室、自然资源和生态环境办公室、社会治安和应急管理办公室，直属事业单位有社会事业综合服务中心、农业综合服务中心、政务（便民）服务中心、综合行政执法大队等10个内设机构，主要贯彻落实党和国家在基层的各项方针政策和法律法规，围绕农业、农村、农民搞好服务，形成管理有序、服务完善、文明祥和的社会生活共同体，维护本地区社会稳定，促进当地经济繁荣发展。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年末，我单位共有编制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人，其中行政编制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人。年末实有在职人员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人，离休人员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,退休人员20人，</w:t>
      </w:r>
      <w:r>
        <w:rPr>
          <w:rFonts w:hint="eastAsia" w:ascii="仿宋" w:hAnsi="仿宋" w:eastAsia="仿宋" w:cs="仿宋"/>
          <w:sz w:val="32"/>
          <w:szCs w:val="32"/>
        </w:rPr>
        <w:t>遗属抚养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人，现有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车辆编制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</w:t>
      </w:r>
      <w:r>
        <w:rPr>
          <w:rFonts w:hint="eastAsia" w:ascii="仿宋" w:hAnsi="仿宋" w:eastAsia="仿宋" w:cs="仿宋"/>
          <w:sz w:val="32"/>
          <w:szCs w:val="32"/>
        </w:rPr>
        <w:t>工作经费专项资金为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万元。资金主要用于加强基层武装部规范化建设、民兵队伍建设、国防教育及征兵工作，确保党管武装工作与基层治理、应急处突能力提升深度融合。</w:t>
      </w:r>
    </w:p>
    <w:p>
      <w:pPr>
        <w:widowControl/>
        <w:numPr>
          <w:ilvl w:val="0"/>
          <w:numId w:val="1"/>
        </w:numPr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资金绩效目标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桥市乡党管武装</w:t>
      </w:r>
      <w:r>
        <w:rPr>
          <w:rFonts w:hint="eastAsia" w:ascii="仿宋" w:hAnsi="仿宋" w:eastAsia="仿宋" w:cs="仿宋"/>
          <w:sz w:val="32"/>
          <w:szCs w:val="32"/>
        </w:rPr>
        <w:t>工作经费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3万元，用于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加强基层武装部规范化建设、民兵队伍建设、国防教育及征兵工作，确保党管武装工作与基层治理、应急处突能力提升深度融合。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本单位，资金已经通过预算一体化系统全部支付。全年实际使用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3万元，执行率100%。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抓好党管武装工作经费的</w:t>
      </w:r>
      <w:r>
        <w:rPr>
          <w:rFonts w:hint="eastAsia" w:ascii="仿宋" w:hAnsi="仿宋" w:eastAsia="仿宋" w:cs="仿宋"/>
          <w:sz w:val="32"/>
          <w:szCs w:val="32"/>
        </w:rPr>
        <w:t>资金管理工作，做到了专人管理、专账核算、专款专用。一是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专人管理，专人储存，专账核算，工作效率和水平得到了进一步的提高。三是严格资金监管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党管武装工作经费</w:t>
      </w:r>
      <w:r>
        <w:rPr>
          <w:rFonts w:hint="eastAsia" w:ascii="仿宋" w:hAnsi="仿宋" w:eastAsia="仿宋" w:cs="仿宋"/>
          <w:sz w:val="32"/>
          <w:szCs w:val="32"/>
        </w:rPr>
        <w:t>资金管理要求，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 w:cs="仿宋"/>
          <w:sz w:val="32"/>
          <w:szCs w:val="32"/>
        </w:rPr>
        <w:t>使用和监管资金。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实行专账管理，票据审核、报销流程规范，无挪用、超范围使用情况。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年，我单位积极履职，强化管理，较好地完成了党管武装工作年度目标。根据项目支出绩效评价指标体系，项目202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年度评价得分为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分。项目支出绩效情况如下：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（一）预算执行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1、预算完成率：（上年结转0万元+年初预算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万元-年末结余0万元）/（上年结转0万元+年初预算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%,计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2、预算控制率：（本年追加预算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万元/年初预算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，计5分。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（二）绩效指标90分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1、产出指标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（1）数量指标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指标1：征兵人数，完成值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2：征兵宣传范围，完成值11个村，得6分。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（2）质量指标1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指标1：退役军人信访案件处理率，完成值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2：补助资金发放准确率，完成值100%，得5分。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（3）时效指标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指标1：信访处理及时率，完成值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：补贴资金发放及时率，完成值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：征兵政审及时率，完成值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指标1：部门预算支出金额，完成值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（1）经济效益指标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指标1：促进退役军人创业增收，完成值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（2）社会效益指标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指标1：保障退役士兵的待遇，完成值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）可持续影响指标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指标1：提高群众爱国热情，完成值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、满意度指标10分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指标：公众满意度，完成值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%，得10分。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经费使用时效性不足。部分装备采购因审批流程长导致延迟到位。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统筹规划，及时完成预决算工作。深入贯彻落实预算法及其实施条例等相关规定，扎实做好预决算工作，全面核实收入、支出和结转结余等情况，严格对账，切实做到数据真实、计算准确、内容完整、说明清楚。坚持将资金支出安排与工作计划、发展规划紧密结合，本着“以收定支、量入为出、保证重点、兼顾一般”的原则，严格落实“过紧日子”要求，坚持厉行节俭、尽力而为、量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力而行，严格控制预算规模，从紧从严编制预算。严格执行经批准的预算，严控部门预算年中追加，减小项目预决算差异。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坚持提质增效，提高核算工作质量。按时完成财务记账、结账和账务处理工作，及时编制各项财务报表，真实地反映账务状况。及时掌握经费使用情况，合理安排好各项经费支出。及时掌握各项费用的开支范围和标准，扎实做好账务报账工作，严格遵守国家财经纪律，本着“客观、严谨、细致”原则，认真审核原始凭证，确保原始凭证的真实、合法、准确、完整。强化核算监督工作，积极进行内部核算和分析，加强对各项业务的财务监督管理，加强可控费用的控制、执行力度，加强经济活动分析，为党管武装工作开展决策提供参考依据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wordWrap w:val="0"/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0C8AEF"/>
    <w:multiLevelType w:val="singleLevel"/>
    <w:tmpl w:val="CC0C8AE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16173"/>
    <w:rsid w:val="1411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2025-04-29T08:00:00Z</dcterms:created>
  <dc:creator>Administrator</dc:creator>
  <cp:lastModifiedBy>Administrator</cp:lastModifiedBy>
  <dcterms:modified xsi:type="dcterms:W3CDTF">2025-04-29T08:13:33Z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