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_GBK" w:hAnsi="方正小标宋_GBK" w:eastAsia="方正小标宋_GBK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78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kern w:val="2"/>
          <w:sz w:val="44"/>
          <w:szCs w:val="44"/>
        </w:rPr>
        <w:t>关于</w:t>
      </w:r>
      <w:r>
        <w:rPr>
          <w:rFonts w:hint="eastAsia" w:ascii="方正小标宋_GBK" w:hAnsi="方正小标宋_GBK" w:eastAsia="方正小标宋_GBK"/>
          <w:kern w:val="2"/>
          <w:sz w:val="44"/>
          <w:szCs w:val="44"/>
          <w:lang w:eastAsia="zh-CN"/>
        </w:rPr>
        <w:t>江华瑶族自治县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eastAsia="zh-CN"/>
        </w:rPr>
        <w:t>财政决算草案</w:t>
      </w:r>
    </w:p>
    <w:p>
      <w:pPr>
        <w:widowControl w:val="0"/>
        <w:adjustRightInd/>
        <w:snapToGrid/>
        <w:spacing w:after="0" w:line="680" w:lineRule="exact"/>
        <w:jc w:val="center"/>
        <w:textAlignment w:val="baseline"/>
        <w:rPr>
          <w:rFonts w:ascii="方正小标宋_GBK" w:hAnsi="方正小标宋_GBK" w:eastAsia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eastAsia="zh-CN"/>
        </w:rPr>
        <w:t>和20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预算执行情况的报告</w:t>
      </w:r>
    </w:p>
    <w:p>
      <w:pPr>
        <w:shd w:val="clear" w:color="auto" w:fill="FFFFFF"/>
        <w:spacing w:after="0" w:line="570" w:lineRule="exact"/>
        <w:jc w:val="center"/>
        <w:textAlignment w:val="baseline"/>
        <w:rPr>
          <w:rFonts w:ascii="Times New Roman" w:hAnsi="Times New Roman" w:eastAsia="方正楷体_GBK"/>
          <w:color w:val="000000"/>
          <w:spacing w:val="-7"/>
          <w:sz w:val="32"/>
          <w:szCs w:val="32"/>
          <w:highlight w:val="none"/>
        </w:rPr>
      </w:pPr>
      <w:r>
        <w:rPr>
          <w:rFonts w:ascii="Times New Roman" w:hAnsi="Times New Roman" w:eastAsia="方正楷体_GBK"/>
          <w:color w:val="000000"/>
          <w:spacing w:val="-7"/>
          <w:sz w:val="32"/>
          <w:szCs w:val="32"/>
        </w:rPr>
        <w:t>——在</w:t>
      </w:r>
      <w:r>
        <w:rPr>
          <w:rFonts w:hint="eastAsia" w:ascii="Times New Roman" w:hAnsi="Times New Roman" w:eastAsia="方正楷体_GBK"/>
          <w:color w:val="000000"/>
          <w:spacing w:val="-7"/>
          <w:sz w:val="32"/>
          <w:szCs w:val="32"/>
          <w:lang w:val="en-US" w:eastAsia="zh-CN"/>
        </w:rPr>
        <w:t>2025年9月16日</w:t>
      </w:r>
      <w:r>
        <w:rPr>
          <w:rFonts w:hint="eastAsia" w:ascii="Times New Roman" w:hAnsi="Times New Roman" w:eastAsia="方正楷体_GBK"/>
          <w:color w:val="000000"/>
          <w:spacing w:val="-7"/>
          <w:sz w:val="32"/>
          <w:szCs w:val="32"/>
          <w:lang w:eastAsia="zh-CN"/>
        </w:rPr>
        <w:t>县</w:t>
      </w:r>
      <w:r>
        <w:rPr>
          <w:rFonts w:ascii="Times New Roman" w:hAnsi="Times New Roman" w:eastAsia="方正楷体_GBK"/>
          <w:color w:val="000000"/>
          <w:spacing w:val="-7"/>
          <w:sz w:val="32"/>
          <w:szCs w:val="32"/>
        </w:rPr>
        <w:t>十八届</w:t>
      </w:r>
      <w:r>
        <w:rPr>
          <w:rFonts w:hint="eastAsia" w:ascii="Times New Roman" w:hAnsi="Times New Roman" w:eastAsia="方正楷体_GBK"/>
          <w:color w:val="000000"/>
          <w:spacing w:val="-7"/>
          <w:sz w:val="32"/>
          <w:szCs w:val="32"/>
        </w:rPr>
        <w:t>人</w:t>
      </w:r>
      <w:r>
        <w:rPr>
          <w:rFonts w:hint="eastAsia" w:ascii="Times New Roman" w:hAnsi="Times New Roman" w:eastAsia="方正楷体_GBK"/>
          <w:color w:val="000000"/>
          <w:spacing w:val="-7"/>
          <w:sz w:val="32"/>
          <w:szCs w:val="32"/>
          <w:lang w:eastAsia="zh-CN"/>
        </w:rPr>
        <w:t>大</w:t>
      </w:r>
      <w:r>
        <w:rPr>
          <w:rFonts w:hint="eastAsia" w:ascii="Times New Roman" w:hAnsi="Times New Roman" w:eastAsia="方正楷体_GBK"/>
          <w:color w:val="000000"/>
          <w:spacing w:val="-7"/>
          <w:sz w:val="32"/>
          <w:szCs w:val="32"/>
        </w:rPr>
        <w:t>常委会</w:t>
      </w:r>
      <w:r>
        <w:rPr>
          <w:rFonts w:hint="eastAsia" w:ascii="Times New Roman" w:hAnsi="Times New Roman" w:eastAsia="方正楷体_GBK"/>
          <w:color w:val="000000"/>
          <w:spacing w:val="-7"/>
          <w:sz w:val="32"/>
          <w:szCs w:val="32"/>
          <w:highlight w:val="none"/>
          <w:lang w:eastAsia="zh-CN"/>
        </w:rPr>
        <w:t>第三十四次会议</w:t>
      </w:r>
      <w:r>
        <w:rPr>
          <w:rFonts w:ascii="Times New Roman" w:hAnsi="Times New Roman" w:eastAsia="方正楷体_GBK"/>
          <w:color w:val="000000"/>
          <w:spacing w:val="-7"/>
          <w:sz w:val="32"/>
          <w:szCs w:val="32"/>
          <w:highlight w:val="none"/>
        </w:rPr>
        <w:t>上</w:t>
      </w:r>
    </w:p>
    <w:p>
      <w:pPr>
        <w:widowControl w:val="0"/>
        <w:shd w:val="clear" w:color="auto" w:fill="FFFFFF"/>
        <w:adjustRightInd/>
        <w:snapToGrid/>
        <w:spacing w:after="0" w:line="570" w:lineRule="exact"/>
        <w:jc w:val="center"/>
        <w:textAlignment w:val="baseline"/>
        <w:rPr>
          <w:rFonts w:ascii="Times New Roman" w:hAnsi="Times New Roman" w:eastAsia="方正楷体_GBK"/>
          <w:color w:val="000000"/>
          <w:spacing w:val="-7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楷体_GBK"/>
          <w:color w:val="000000"/>
          <w:spacing w:val="-7"/>
          <w:kern w:val="2"/>
          <w:sz w:val="32"/>
          <w:szCs w:val="32"/>
          <w:highlight w:val="none"/>
        </w:rPr>
        <w:t>县财政</w:t>
      </w:r>
      <w:r>
        <w:rPr>
          <w:rFonts w:hint="eastAsia" w:ascii="Times New Roman" w:hAnsi="Times New Roman" w:eastAsia="方正楷体_GBK"/>
          <w:color w:val="000000"/>
          <w:spacing w:val="-7"/>
          <w:kern w:val="2"/>
          <w:sz w:val="32"/>
          <w:szCs w:val="32"/>
          <w:highlight w:val="none"/>
          <w:lang w:eastAsia="zh-CN"/>
        </w:rPr>
        <w:t>局</w:t>
      </w:r>
      <w:r>
        <w:rPr>
          <w:rFonts w:ascii="Times New Roman" w:hAnsi="Times New Roman" w:eastAsia="方正楷体_GBK"/>
          <w:color w:val="000000"/>
          <w:spacing w:val="-7"/>
          <w:kern w:val="2"/>
          <w:sz w:val="32"/>
          <w:szCs w:val="32"/>
          <w:highlight w:val="none"/>
        </w:rPr>
        <w:t>局长  颜德</w:t>
      </w:r>
      <w:r>
        <w:rPr>
          <w:rFonts w:ascii="Times New Roman" w:hAnsi="Times New Roman" w:eastAsia="方正楷体_GBK"/>
          <w:color w:val="000000"/>
          <w:spacing w:val="-7"/>
          <w:kern w:val="2"/>
          <w:sz w:val="32"/>
          <w:szCs w:val="32"/>
        </w:rPr>
        <w:t>彪</w:t>
      </w:r>
    </w:p>
    <w:p>
      <w:pPr>
        <w:widowControl w:val="0"/>
        <w:spacing w:after="0" w:line="560" w:lineRule="exact"/>
        <w:jc w:val="both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县人大常委会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受县人民政府委托，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财政决算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上半年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预算执行情况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报告如下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，请予审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查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一、202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黑体_GBK"/>
          <w:sz w:val="32"/>
          <w:szCs w:val="32"/>
        </w:rPr>
        <w:t>年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财政收支决算</w:t>
      </w:r>
      <w:r>
        <w:rPr>
          <w:rFonts w:ascii="Times New Roman" w:hAnsi="Times New Roman" w:eastAsia="方正黑体_GBK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是实现“十四五”规划目标任务的关键一年，在县委、县政府坚强领导和县人大及其常委会的监督指导下，财政部门坚持以习近平新时代中国特色社会主义思想为指导，紧紧围绕全县中心工作和发展大局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全力以赴防风险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精准施策保民生，服务大局抓经济，统筹资金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促发展，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全力保障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县委、县政府重大决策部署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贯彻落实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有效助推我县经济社会高质量发展，全年财政运行平稳有序，决算情况总体良好。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sz w:val="32"/>
          <w:szCs w:val="32"/>
        </w:rPr>
        <w:t>（一）一般公共预算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收支决算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1．收入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/>
          <w:sz w:val="32"/>
          <w:szCs w:val="32"/>
        </w:rPr>
        <w:t>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年地方一般公共预算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收入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12.68</w:t>
      </w:r>
      <w:r>
        <w:rPr>
          <w:rFonts w:hint="eastAsia" w:ascii="Times New Roman" w:hAnsi="Times New Roman" w:eastAsia="方正仿宋_GBK"/>
          <w:sz w:val="32"/>
          <w:szCs w:val="32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2.16%，其中税收收入8.99亿元，非税收入3.69亿元。上级补助收入29.48亿元，其中返还性收入0.63亿元、一般性转移支付收入26.4亿元、专项转移支付收入2.45亿元。加上债务（转贷）收入5.7亿元，动用预算稳定调节基金50万元，调入资金2.38亿元，上年结余4.34亿元，收入总计54.58亿元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2．支出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/>
          <w:sz w:val="32"/>
          <w:szCs w:val="32"/>
        </w:rPr>
        <w:t>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年一般公共预算支出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43.69</w:t>
      </w:r>
      <w:r>
        <w:rPr>
          <w:rFonts w:hint="eastAsia" w:ascii="Times New Roman" w:hAnsi="Times New Roman" w:eastAsia="方正仿宋_GBK"/>
          <w:sz w:val="32"/>
          <w:szCs w:val="32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同比下降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2.5%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其中一般公共服务支出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3.59亿元；公共安全支出1.38亿元；教育支出8.88亿元；科学技术支出1.77亿元；文化旅游体育与传媒支出0.641亿元；社会保障和就业支出6.39亿元；卫生健康支出2.82亿元；节能环保支出0.72亿元；城乡社区支出5.51亿元；农林水支出8.19亿元；交通运输支出0.99亿元；资源勘探工业信息等支出1070万元；商业服务业等支出744万元；金融支出30万元；自然资源海洋气象等支出0.25亿元；住房保障支出0.93亿元；粮油物资储备支出1316万元；灾害防治及应急管理支出0.36亿元；一般债务付息支出0.95亿元；其他支出19万元</w:t>
      </w:r>
      <w:r>
        <w:rPr>
          <w:rFonts w:hint="eastAsia" w:ascii="Times New Roman" w:hAnsi="Times New Roman" w:eastAsia="方正仿宋_GBK"/>
          <w:sz w:val="32"/>
          <w:szCs w:val="32"/>
        </w:rPr>
        <w:t>。上解上级支出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0.39亿元，债务还本支出4.18亿元，调出资金1.27亿元，结转下年5.05亿元，支出总计54.58亿元。当年收支平衡。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sz w:val="32"/>
          <w:szCs w:val="32"/>
        </w:rPr>
        <w:t>（二）政府性基金预算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收支决算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政府性基金本级收入0.64亿元（含国有土地使用权出让收入0.49亿元），较上年下降46.6%，主要是受房地产行业下行影响，国有土地使用权出让收入大幅减少。上级补助收入5.14亿元（含超长期特别国债4.28亿元），上年结余0.13亿元，地方政府专项债券转贷收入6.88亿元，调入资金1.27亿元，政府性基金收入合计14.06亿元。政府性基金支出9.57亿元（其中卫生健康支出24万元、城乡社区支出1.56亿元、农林水支出0.54亿元、交通运输支出2.56亿元、资源勘探工业信息等支出0.11亿元、专项债券及彩票公益金等其他支出3.73亿元、专项债付息1.07亿元），上解支出57万元，置换存量隐性债务还本2.03亿元，结转下年2.45亿元，支出合计14.06亿元。收支平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sz w:val="32"/>
          <w:szCs w:val="32"/>
        </w:rPr>
        <w:t>（三）社会保险基金预算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收支决算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社会保险基金收入5.35亿元，支出4.86亿元，收支相抵，当年收支结余0.49亿元，年末滚存结余5.42亿元。分险种来看：城乡居民基本养老保险基金收入2.26亿元，支出1.58亿元，当年收支结余0.68亿元；机关事业单位基本养老保险基金收入3.08亿元，支出3.27亿元，当年收支结余-0.19亿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sz w:val="32"/>
          <w:szCs w:val="32"/>
        </w:rPr>
        <w:t>（四）国有资本经营预算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收支决算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国有资本经营预算收入925万元，其中：县级其他国有资本经营预算收入918万元为国有企业上缴利润，上级补助资金7万元为企业退休人员社会化管理补助。完成国有资本经营预算支出7万元，调出资金至一般公共预算918万元。收支平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（五）地方政府债务情况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底省财政厅核定我县政府债务限额为78.83亿元，较上年新增8.82亿元，其中：新增一般债务限额39.35亿元，专项债务限额39.48亿元。2024年底，我县债务余额为78.41亿元，在省核定的债务限额以内，风险总体可控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六</w:t>
      </w:r>
      <w:r>
        <w:rPr>
          <w:rFonts w:ascii="Times New Roman" w:hAnsi="Times New Roman" w:eastAsia="方正楷体_GBK"/>
          <w:sz w:val="32"/>
          <w:szCs w:val="32"/>
        </w:rPr>
        <w:t>）县级预备费使用情况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2024年县级预备费主要用于自然灾害能力提升、扫黑除恶、森林消防建设、教育发展、农业担保风险分担、村级基础设施建设等支出。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lang w:eastAsia="zh-CN"/>
        </w:rPr>
      </w:pPr>
      <w:r>
        <w:rPr>
          <w:rFonts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七</w:t>
      </w:r>
      <w:r>
        <w:rPr>
          <w:rFonts w:ascii="Times New Roman" w:hAnsi="Times New Roman" w:eastAsia="方正楷体_GBK"/>
          <w:sz w:val="32"/>
          <w:szCs w:val="32"/>
        </w:rPr>
        <w:t>）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“三公”经费情况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2024年，全县行政事业单位“三公”经费支出1741.27万元，较上年决算数减少168.74万元，下降8.8%，其中因公出国（境）经费0万元；公务用车运行及购置费875.95万元；公务接待费865.32万元。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八</w:t>
      </w:r>
      <w:r>
        <w:rPr>
          <w:rFonts w:ascii="Times New Roman" w:hAnsi="Times New Roman" w:eastAsia="方正楷体_GBK"/>
          <w:sz w:val="32"/>
          <w:szCs w:val="32"/>
        </w:rPr>
        <w:t>）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预算绩效管理情况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出台了《江华瑶族自治县预算绩效目标管理办法》，内容涵盖绩效目标的编制与报送、审核、批复与应用等环节，形成绩效目标“编制-审核-应用”全链条管理，为全面实施预算绩效管理提供了核心导向和关键支撑。开展全过程预算绩效管理，将垃圾处理费用、80-99岁高龄补贴等6个专项资金绩效目标与预算同步报人大审查，进一步提高绩效目标质量。推进财政资金重点绩效评价提质增效，对壮大村集体经济、职业中专学校整体新建等11个关乎重点民生项目开展重点绩效评价，涉及预算金额7亿元，范围延伸至政府性基金预算、政府购买服务、国有资本经营预算、社保基金预算等范畴。强化绩效导向，注重结果应用，通过实施重点绩效评价，优化4个预算项目、410万元资金配置，让财政资金花在“刀刃”上，切实提升使用效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2024年预算执行效果及落实人大决议情况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topLinePunct w:val="0"/>
        <w:autoSpaceDE/>
        <w:autoSpaceDN w:val="0"/>
        <w:bidi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方正楷体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强化收入组织</w:t>
      </w: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，提升保障能力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一是加大收入组织。坚持把财源建设作为财税核心工作，制定财源建设实施方案，努力克服经济下行等不利因素影响，聚焦主体税种、重点税源、重点项目，挖潜增收，强化收入征管。全年完成地方一般公共预算收入12.68亿元，同比增长2.16%。二是积极向上争取资金。及时掌握上级政策动向，紧盯全县重点项目建设，做好项目谋划包装，全面围绕地方政府专项债券、中央预算内资金、超长期特别国债等重点领域资金，持续加大争取力度。2024年共争取上级补助收入34.62亿元，同口径较上年增长7%。三是加力盘活国有“三资”。精准“识别”各类存量资金，理清“陈年旧账”，加大存量资金统筹力度，做到抓大不放小。持续推进国有资产资源清查处置与管理改革，对不同资产资源，拟定不同盘活方案，形成可盘活清单，把握“能用则用、不用则售、不售则租、能融则融”等方式分类研判、妥善处置。2024年盘活两类资金、六类资源、五类矿产5.59亿元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topLinePunct w:val="0"/>
        <w:autoSpaceDE/>
        <w:autoSpaceDN w:val="0"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（二）优化支出结构，增进民生福祉</w:t>
      </w:r>
    </w:p>
    <w:p>
      <w:pPr>
        <w:pStyle w:val="12"/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一是加大教育投入。安排教育支出8.88亿元，支持学生营养膳食、教师基本待遇等补助支出，落实各项学生资助政策，改善办学条件，提高教育薄弱环节，助推教育均衡发展。二是提升卫生服务水平。安排卫生健康支出2.82亿元，支持公共卫生服务、医疗能力提升、计划生育服务、急危重症救治网络体系运行、瑶医瑶药发展等，提升医疗卫生服务水平，满足群众健康需求。三是强化民生兜底保障。安排社会保障和就业支出6.39亿元，保障城乡低保、特困人员、优抚对象、困难残疾人、孤儿、老年人等特殊群体基本生活需求，补齐民生领域“短板”，提高社会救助和福利保障水平。四是助推进乡村振兴。安排农林水支出8.19亿元，强化耕地保护，保障粮食安全，加强衔接资金统筹，支持正冲、草岭水库等水利设施建设、高标准农田设施建设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topLinePunct w:val="0"/>
        <w:autoSpaceDE/>
        <w:autoSpaceDN w:val="0"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（三）深化改革创新，防范风险底线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TW" w:eastAsia="zh-CN" w:bidi="ar-SA"/>
        </w:rPr>
        <w:t>一是兜牢兜实“三保”底线。严格执行县人大会批准的预算，坚持先预算后支出，无预算不支出原则。严格库款调度，库款优先保障“三保”支出再保障其他支出。全面落实“三保”支出责任，2024年“三保”支出22.51亿元，占一般公共预算支出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51.5%，全年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TW" w:eastAsia="zh-CN" w:bidi="ar-SA"/>
        </w:rPr>
        <w:t>未发生“三保”风险事件。二是防范化解政府债务。筹措资金化解债务2.91亿元，累计化债进度为75.42%，超序时化债进度15个百分点，位列全市前列。加大政企银常态对接力度，全县地方债务平均利率降至4.03%。加速平台公司压降，2024年完成3家平台公司压降，超目标任务1家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三是强化监督指导。开展财会监督专项行动，围绕惠农财政补贴资金、衔接推进乡村振兴资金、行政事业单位预算执行等重点领域，全面开展财经纪律重点问题专项整治，纵深推进财政绩效管理，做好财政运行风险防范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topLinePunct w:val="0"/>
        <w:autoSpaceDE/>
        <w:autoSpaceDN w:val="0"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</w:rPr>
        <w:t>（四）</w:t>
      </w: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狠抓财政管理，提升治理效能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TW" w:eastAsia="zh-CN" w:bidi="ar-SA"/>
        </w:rPr>
        <w:t>一是落实过紧日子要求。坚决贯彻落实党政机关习惯过紧日子要求，严控一般性支出，严格执行会议、差旅、培训制度规定，从严审核资产配置、采购项目经费等，精简节庆、论坛、展会等活动经费。二是深化预算绩效管理。对预算单位整体及项目绩效目标“双监控”工作，以绩效为导向提升支出政策精准度，拓展预算绩效管理覆盖范围，完善绩效评价体系，做“实”绩效监控，做“真”绩效自评，做“深”绩效评价，做“严”结果运用，将评价结果作为预算安排的重要依据，有效提升预算管理的科学性和精准性。三是加强政府采购和财政评审。2024年执行政府采购预算3.48亿元，完成采购金额3.38亿元，节约采购资金0.1亿元,资金节约率2.9%。完成预结算项目301个，项目送审金额18.68亿元，审定金额为16.44亿元，审减金额2.24亿元，平均审减率为11.98%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zh-TW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TW" w:eastAsia="zh-CN" w:bidi="ar-SA"/>
        </w:rPr>
        <w:t>2024年总的来看，地方收入持续增长，“三保”及重点支出保障有力，财政运行总体良好。但也清醒地认识到当前财政工作面临困难和问题，主要有：重点行业、重点产业、重点税源税收后劲不足，地方收入增长乏力；债务还本付息及其他刚性支出需求大，收支矛盾更加突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三、202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黑体_GBK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  <w:t>上半年执行情况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（一）一般公共预算收支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执行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2025年1-6月完成地方一般公共预算收入6.27亿元，为预算的47.6%，同比下降9.45%。其中：地方税收完成3.58亿元，下降20.6%，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 w:bidi="ar-SA"/>
        </w:rPr>
        <w:t>主要是资源税、耕地占用税、印花税等重点税源大幅减收；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非税收入完成2.69亿元，非税占比42.89%，较上年同期增长7.19%。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1-6月全县一般公共预算支出21.23亿元，为预算的45.55%，较上年同期减少1.28亿元，下降5.67%，科学技术、社会保障和就业、卫生健康、节能环保、住房保障等民生民本和重点支出得到较好保障。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="0" w:beforeLines="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yellow"/>
          <w:shd w:val="clear" w:color="auto" w:fill="FFFFFF"/>
          <w:lang w:eastAsia="zh-CN"/>
        </w:rPr>
      </w:pPr>
      <w:r>
        <w:drawing>
          <wp:inline distT="0" distB="0" distL="114300" distR="114300">
            <wp:extent cx="5608955" cy="3528060"/>
            <wp:effectExtent l="4445" t="4445" r="6350" b="10795"/>
            <wp:docPr id="134313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（二）政府性基金预算执行情况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1-6月，全县完成地方政府性基金收入0.17亿元，其中土地出让权出让收入仅为0.12亿元，仅为年初预算的9.28%，主要是为房地产行业不景气，土地市场活力不够，没有大宗地块交易；政府性基金支出完成1.41亿元，主要是专项债付息、上年结转支出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（三）社会保险基金预算执行情况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1-6月，社会保险基金收入完成3.28亿元，为年初预算的52.8%，其中保险费收入1.21亿元，利息收入95万元，财政补贴2.03亿元，其他收入9万元，转移性收入241万元。社会保险基金支出完成2.59亿元，为年初预算的48.4%，其中社会保险待遇支出2.57亿元，其他支出93万元，转移性支出31万元。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（四）国有资本经营预算执行情况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1-6月，国有资本经营预算收支暂无数据。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snapToGrid w:val="0"/>
        <w:spacing w:before="0" w:beforeLines="0" w:after="0" w:afterLines="0" w:line="560" w:lineRule="exact"/>
        <w:ind w:left="0" w:leftChars="0" w:right="23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（五）1-6月财政主要工作落实情况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一是大力深化零基预算改革。进一步打破支出固化格局，区分轻重缓急，一切从实际和需求出发，遵循先定事后定钱原则安排支出预算。逐项审核部门申报的所有支出项目，取消无政策依据、不必要安排的支出，清理退出已到期、目标已完成的政策，撤并工作目标相近的项目。严明支出顺序，严格按五级优先顺序安排支出，前序未有效保障的不安排后序支出。加强财政统筹，按照“预算一个盘子，支出一个口子、收入一个笼子”原则，将所有收入支出纳入预算管理，未纳入预算的不安排支出，强化专项资金、跨部门资金、单位资金统筹，坚持集中财力办大事，确保财政资金使用提质增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二是防范财政运行风险底线。坚持底线思维，增强忧患意识，有效防范化解财政运行风险。兜牢兜实“三保”底线。上半年全县“三保”支出13.1亿元，执行进度53%，“三保”支出应保尽保。防范化解债务风险。综合运用置换债券、压缩一般性支出、盘活国有“三资”等方式，多渠道筹集资金化解存量债务。加力增效财会监督。开展“强基固本”专项行动，进一步清理规范银行账户,夯实会计基础工作，规范整治乡镇财政管理。对中南大学扶贫资金、同盛国有资产进行监督检查，配合做好全市乡村振兴及高标准农田资金等专项检查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三是加强财源建设夯实收入。始终将收入组织作为首要任务，密切关注经济形势和税源变化，加强财税部门协作，强化收入征管，确保应收尽收。加强财源培育，加大对重点产业、重点企业的扶持力度，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培育壮大骨干税源，上半年培育年纳税200万元以上骨干税源企业58家。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加力“三资”盘活，加快推进政府持有房产市场化交易、矿产资源勘探开发、林权制度改革、闲置资产和存量土地处置等，进一步拓宽财政收入来源渠道。全力向上争取资金，紧盯上级规划指向、政策导向、产业方向，积极向上争取中央预算内资金、超长期特别国债和专项债券资金，有效弥补建设资金缺口，增强发展后劲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四是加力保障改善民生。促进教育提质均衡发展，重点保障学生营养改善、教师待遇落实、学生资助等，支持办学条件改善、教育资源扩容，推动教育从“基本均衡”向“优质均衡”迈进。促进社保兜底民生稳固，足额发放养老金、城乡低保、特困人员、优抚对象等特殊群体救助补助，落实退役士兵优待金、安置补助，支持重点群体就业。促进医疗强基健康提质，重点投向公共卫生服务、医疗服务体系建设及瑶医瑶药发展，强化急危重症救治，提升突发公共卫生事件应对能力。促进乡村赋能面貌焕新，聚焦产业振兴与基础设施提升，支持特色产业发展、农村道路水利建设及人居环境整治，推动乡村产业“强起来”、人居环境“美起来”、群众生活“富起来”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2025年上半年，有力保障了“三保”、债务还本付息及重点领域支出，债务化解扎实有效，总体执行情况较好。但当前存在问题不容忽视：重点税源大幅减收、新兴税源贡献率低、“三资”盘活成效不够显著，重点项目支出压力攀升，收支矛盾凸显，财政平衡压力加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四、202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黑体_GBK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  <w:t>下半年工作重点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23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（一）进一步抓好财源建设，提升财政保障能力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23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一是实施骨干税源提质行动，深耕“一主一特”产业，发挥财政引导作用精准扶持，梯度培育新财源。二是全力挖潜攻坚，加强财税联动，精准监控重点行业企业，细化目标任务，加大对房地产、保险、五矿稀土、海螺水泥等重点行业企业的征管力度。三是紧盯项目建设税收，紧盯湾水源抽水蓄能、S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231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、城乡一体化、风电光伏、县庆设施等重大项目，全力推进项目开工建设，确保形成更多实物工程量，全程跟踪建安税收入库。四是强力推进“三资”盘活利用，精准施策，推进存量土地出让，优化出让方案，限期完成流拍资产处置；引入社会资本开发闲置资产，加快矿产资源转化效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23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（二）进一步深化零基预算改革，提高预算管理效能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23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一是进一步打破支出固化格局，坚持以零为基点编制下年度预算，重新审视各项支出的必要性，严格遵循先事定后定钱原则。大力压减非重点、非刚性支出，严控一般性支出预算规模，集中财力保障“三保”和重点领域、重大项目支出。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是进一步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加强部门沟通协调，加大零基预算改革宣传力度，提高各部门对改革的认识和执行力，形成改革合力。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三是进一步严明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支出秩序，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库款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优先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“三保”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及时拨付民生资金、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每月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15日前发放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工资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按序时进度拨付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运转经费。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四是进一步加快推进支出标准体系建设，初步构建起以基本支出标准、项目支出标准、基本公共服务支出标准、资产管理标准为主的支出标准体系，提高财政管理系统化、精细化、标准化、法治化水平。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（三）进一步加强监督管理，防范财政运行风险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一是严格政府债务管理，执行政府债务限额管理规定，规范政府举债行为，坚决杜绝违法违规举债现象发生。建立健全政府债务风险预警机制，加强对债务风险日常监测和分析研判，及时发现和化解债务风险隐患，防范债务风险蔓延。二是开展重大政策、重点项目绩效运行监控，加大对预算单位的指导和联系，举办针对性业务培训。做优重点绩效评价，扩大覆盖面，提高绩效评价工作质量。强化绩效评价结果应用，将评价结果与预算安排相挂钩，提升财政资金配置效率和资金使用效益。三是继续实施“强基固本”行动，对已发现的问题，压实整改责任，强化问责力度。围绕《会计基础工作规范》、预算一体化系统操作、内控风险管理等，组织轮训，切实提升基层财务人员业务水平和风险防范意识。建立健全内控制度，利用一体化系统，将资金拨付管理实行自动校对、自动预警、自动拦截，构建长效机制，提升财政基础管理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-CN"/>
        </w:rPr>
        <w:t>（四）进一步加大民生投入，增强民众幸福指数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落实好教育、医疗、养老、生育等方面补助救助政策，保障好特殊困难群众基本生活。促进充分就业，提升就业质量。做好退役军人和优抚对象抚恤工作。加大困难儿童和留守儿童关爱。大力统筹资金，积极推进乡村全面振兴和城镇化建设，持续推进高标准农田和农业水利设施建设，不断改善人居环境。落实耕地地力、种粮、农机购置和稻谷目标价格补贴等惠民政策，稳定粮食安全生产。加大城区基础设施提质改造投入，为迎接70周年县庆，营造干净整洁、优美文明的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主任、各位副主任、各位委员，面对复杂多变的经济形势和财政收支“紧平衡”压力，我们将坚决贯彻以习近平同志为核心的党中央决策部署，在县委、县政府的坚强领导和县人大有力监督指导下，认真执行本次会议审议的意见，迎难而上、担当作为，持续优化支出结构，切实增强保障能力，不断提升管理效能，坚决完成“十四五”规划各项目标任务，为奋力打造民族地区县域经济高质量发展标杆作出新的更大贡献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以上报告请予审议。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708" w:footer="90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6977763"/>
      <w:docPartObj>
        <w:docPartGallery w:val="autotext"/>
      </w:docPartObj>
    </w:sdtPr>
    <w:sdtEndPr>
      <w:rPr>
        <w:rFonts w:hint="eastAsia" w:ascii="方正书宋_GBK" w:eastAsia="方正书宋_GBK"/>
        <w:sz w:val="28"/>
        <w:szCs w:val="28"/>
      </w:rPr>
    </w:sdtEndPr>
    <w:sdtContent>
      <w:p>
        <w:pPr>
          <w:pStyle w:val="4"/>
          <w:jc w:val="right"/>
          <w:rPr>
            <w:rFonts w:ascii="方正书宋_GBK" w:eastAsia="方正书宋_GBK"/>
            <w:sz w:val="28"/>
            <w:szCs w:val="28"/>
          </w:rPr>
        </w:pPr>
        <w:r>
          <w:rPr>
            <w:rFonts w:hint="eastAsia" w:ascii="方正书宋_GBK" w:eastAsia="方正书宋_GBK"/>
            <w:sz w:val="28"/>
            <w:szCs w:val="28"/>
          </w:rPr>
          <w:fldChar w:fldCharType="begin"/>
        </w:r>
        <w:r>
          <w:rPr>
            <w:rFonts w:hint="eastAsia" w:ascii="方正书宋_GBK" w:eastAsia="方正书宋_GBK"/>
            <w:sz w:val="28"/>
            <w:szCs w:val="28"/>
          </w:rPr>
          <w:instrText xml:space="preserve">PAGE   \* MERGEFORMAT</w:instrText>
        </w:r>
        <w:r>
          <w:rPr>
            <w:rFonts w:hint="eastAsia" w:ascii="方正书宋_GBK" w:eastAsia="方正书宋_GBK"/>
            <w:sz w:val="28"/>
            <w:szCs w:val="28"/>
          </w:rPr>
          <w:fldChar w:fldCharType="separate"/>
        </w:r>
        <w:r>
          <w:rPr>
            <w:rFonts w:hint="eastAsia" w:ascii="方正书宋_GBK" w:eastAsia="方正书宋_GBK"/>
            <w:sz w:val="28"/>
            <w:szCs w:val="28"/>
            <w:lang w:val="zh-CN"/>
          </w:rPr>
          <w:t>2</w:t>
        </w:r>
        <w:r>
          <w:rPr>
            <w:rFonts w:hint="eastAsia" w:ascii="方正书宋_GBK" w:eastAsia="方正书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6007693"/>
      <w:docPartObj>
        <w:docPartGallery w:val="autotext"/>
      </w:docPartObj>
    </w:sdtPr>
    <w:sdtEndPr>
      <w:rPr>
        <w:rFonts w:hint="eastAsia" w:ascii="方正书宋_GBK" w:eastAsia="方正书宋_GBK"/>
        <w:sz w:val="28"/>
        <w:szCs w:val="28"/>
      </w:rPr>
    </w:sdtEndPr>
    <w:sdtContent>
      <w:p>
        <w:pPr>
          <w:pStyle w:val="4"/>
          <w:rPr>
            <w:rFonts w:ascii="方正书宋_GBK" w:eastAsia="方正书宋_GBK"/>
            <w:sz w:val="28"/>
            <w:szCs w:val="28"/>
          </w:rPr>
        </w:pPr>
        <w:r>
          <w:rPr>
            <w:rFonts w:hint="eastAsia" w:ascii="方正书宋_GBK" w:eastAsia="方正书宋_GBK"/>
            <w:sz w:val="28"/>
            <w:szCs w:val="28"/>
          </w:rPr>
          <w:fldChar w:fldCharType="begin"/>
        </w:r>
        <w:r>
          <w:rPr>
            <w:rFonts w:hint="eastAsia" w:ascii="方正书宋_GBK" w:eastAsia="方正书宋_GBK"/>
            <w:sz w:val="28"/>
            <w:szCs w:val="28"/>
          </w:rPr>
          <w:instrText xml:space="preserve">PAGE   \* MERGEFORMAT</w:instrText>
        </w:r>
        <w:r>
          <w:rPr>
            <w:rFonts w:hint="eastAsia" w:ascii="方正书宋_GBK" w:eastAsia="方正书宋_GBK"/>
            <w:sz w:val="28"/>
            <w:szCs w:val="28"/>
          </w:rPr>
          <w:fldChar w:fldCharType="separate"/>
        </w:r>
        <w:r>
          <w:rPr>
            <w:rFonts w:hint="eastAsia" w:ascii="方正书宋_GBK" w:eastAsia="方正书宋_GBK"/>
            <w:sz w:val="28"/>
            <w:szCs w:val="28"/>
            <w:lang w:val="zh-CN"/>
          </w:rPr>
          <w:t>2</w:t>
        </w:r>
        <w:r>
          <w:rPr>
            <w:rFonts w:hint="eastAsia" w:ascii="方正书宋_GBK" w:eastAsia="方正书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YzAxY2RlMjI5NDYxNmEwYjQ4ZTFlNjJiODY2OTEifQ=="/>
  </w:docVars>
  <w:rsids>
    <w:rsidRoot w:val="00172A27"/>
    <w:rsid w:val="00000159"/>
    <w:rsid w:val="00085634"/>
    <w:rsid w:val="000930FE"/>
    <w:rsid w:val="000D7182"/>
    <w:rsid w:val="000F656B"/>
    <w:rsid w:val="00104500"/>
    <w:rsid w:val="00157FB5"/>
    <w:rsid w:val="00172A27"/>
    <w:rsid w:val="001A695C"/>
    <w:rsid w:val="00267064"/>
    <w:rsid w:val="00330FA1"/>
    <w:rsid w:val="00365DBF"/>
    <w:rsid w:val="00367E96"/>
    <w:rsid w:val="005974FD"/>
    <w:rsid w:val="0067650D"/>
    <w:rsid w:val="00730DE0"/>
    <w:rsid w:val="00763318"/>
    <w:rsid w:val="00853633"/>
    <w:rsid w:val="00857C77"/>
    <w:rsid w:val="00884372"/>
    <w:rsid w:val="008865FE"/>
    <w:rsid w:val="008D1578"/>
    <w:rsid w:val="008F3BF5"/>
    <w:rsid w:val="00957BCD"/>
    <w:rsid w:val="00A7695A"/>
    <w:rsid w:val="00AB0EB3"/>
    <w:rsid w:val="00AF1FEA"/>
    <w:rsid w:val="00DA3E52"/>
    <w:rsid w:val="00DD1B59"/>
    <w:rsid w:val="00E660D4"/>
    <w:rsid w:val="00EE7F50"/>
    <w:rsid w:val="0123016A"/>
    <w:rsid w:val="016C462E"/>
    <w:rsid w:val="020F0A1D"/>
    <w:rsid w:val="02440770"/>
    <w:rsid w:val="025E15B5"/>
    <w:rsid w:val="02B82428"/>
    <w:rsid w:val="02E63F06"/>
    <w:rsid w:val="031236E7"/>
    <w:rsid w:val="032B7F67"/>
    <w:rsid w:val="033018DC"/>
    <w:rsid w:val="033571A8"/>
    <w:rsid w:val="0362429C"/>
    <w:rsid w:val="03A23147"/>
    <w:rsid w:val="03B467B8"/>
    <w:rsid w:val="04040A6D"/>
    <w:rsid w:val="041D7B8E"/>
    <w:rsid w:val="044712F5"/>
    <w:rsid w:val="0458127D"/>
    <w:rsid w:val="04792F78"/>
    <w:rsid w:val="0494145B"/>
    <w:rsid w:val="04980C8D"/>
    <w:rsid w:val="04F97BD8"/>
    <w:rsid w:val="050F19D9"/>
    <w:rsid w:val="05387649"/>
    <w:rsid w:val="05580E37"/>
    <w:rsid w:val="055A06F8"/>
    <w:rsid w:val="05615A39"/>
    <w:rsid w:val="05EF2F66"/>
    <w:rsid w:val="064073C7"/>
    <w:rsid w:val="065E5FBC"/>
    <w:rsid w:val="06B05692"/>
    <w:rsid w:val="06D25E96"/>
    <w:rsid w:val="06E40BDA"/>
    <w:rsid w:val="06E6669D"/>
    <w:rsid w:val="06F45798"/>
    <w:rsid w:val="07417F5A"/>
    <w:rsid w:val="07641E26"/>
    <w:rsid w:val="07D2322D"/>
    <w:rsid w:val="084D557E"/>
    <w:rsid w:val="08667847"/>
    <w:rsid w:val="08C200C2"/>
    <w:rsid w:val="091153EC"/>
    <w:rsid w:val="0916381F"/>
    <w:rsid w:val="09400106"/>
    <w:rsid w:val="094463F7"/>
    <w:rsid w:val="09964872"/>
    <w:rsid w:val="09A75E9C"/>
    <w:rsid w:val="09C62C8C"/>
    <w:rsid w:val="09CE386F"/>
    <w:rsid w:val="09F10D6F"/>
    <w:rsid w:val="0A0538BF"/>
    <w:rsid w:val="0A2E53D3"/>
    <w:rsid w:val="0A4001C9"/>
    <w:rsid w:val="0ACA5A42"/>
    <w:rsid w:val="0AF774CF"/>
    <w:rsid w:val="0B2C1561"/>
    <w:rsid w:val="0B2E5E2C"/>
    <w:rsid w:val="0B366B3B"/>
    <w:rsid w:val="0B426986"/>
    <w:rsid w:val="0B886F06"/>
    <w:rsid w:val="0BA15FD8"/>
    <w:rsid w:val="0C647AFD"/>
    <w:rsid w:val="0C675D8B"/>
    <w:rsid w:val="0C9175FE"/>
    <w:rsid w:val="0C9E6BAA"/>
    <w:rsid w:val="0CAE7C6A"/>
    <w:rsid w:val="0CE468F3"/>
    <w:rsid w:val="0D227396"/>
    <w:rsid w:val="0D582A38"/>
    <w:rsid w:val="0DAA2043"/>
    <w:rsid w:val="0DCF749B"/>
    <w:rsid w:val="0DF129EC"/>
    <w:rsid w:val="0E71247C"/>
    <w:rsid w:val="0E7D6F70"/>
    <w:rsid w:val="0EE352E2"/>
    <w:rsid w:val="0F02235D"/>
    <w:rsid w:val="0F2B61F7"/>
    <w:rsid w:val="0F801026"/>
    <w:rsid w:val="0F866183"/>
    <w:rsid w:val="0FA43A82"/>
    <w:rsid w:val="0FAA2596"/>
    <w:rsid w:val="0FAA7C21"/>
    <w:rsid w:val="0FBD2063"/>
    <w:rsid w:val="10224152"/>
    <w:rsid w:val="10270356"/>
    <w:rsid w:val="1051747E"/>
    <w:rsid w:val="10574701"/>
    <w:rsid w:val="105C70E5"/>
    <w:rsid w:val="105D074C"/>
    <w:rsid w:val="108A4CDF"/>
    <w:rsid w:val="11082320"/>
    <w:rsid w:val="11261D5B"/>
    <w:rsid w:val="11BD17A8"/>
    <w:rsid w:val="12776DA5"/>
    <w:rsid w:val="12B004C5"/>
    <w:rsid w:val="12F45FFD"/>
    <w:rsid w:val="13485A59"/>
    <w:rsid w:val="134B191F"/>
    <w:rsid w:val="136E682D"/>
    <w:rsid w:val="138A7B69"/>
    <w:rsid w:val="13AD310E"/>
    <w:rsid w:val="142D2826"/>
    <w:rsid w:val="143E25F1"/>
    <w:rsid w:val="148876BD"/>
    <w:rsid w:val="148C1279"/>
    <w:rsid w:val="14A834AF"/>
    <w:rsid w:val="15361468"/>
    <w:rsid w:val="15367F78"/>
    <w:rsid w:val="159B33E9"/>
    <w:rsid w:val="15E01213"/>
    <w:rsid w:val="15E85537"/>
    <w:rsid w:val="16063077"/>
    <w:rsid w:val="161A1205"/>
    <w:rsid w:val="163D7D73"/>
    <w:rsid w:val="164B57E9"/>
    <w:rsid w:val="168F0486"/>
    <w:rsid w:val="16EA79A9"/>
    <w:rsid w:val="16FB22D0"/>
    <w:rsid w:val="17093421"/>
    <w:rsid w:val="176E19E2"/>
    <w:rsid w:val="18895595"/>
    <w:rsid w:val="18B04609"/>
    <w:rsid w:val="18B90818"/>
    <w:rsid w:val="18EB66BB"/>
    <w:rsid w:val="18F57669"/>
    <w:rsid w:val="19204B13"/>
    <w:rsid w:val="192B576B"/>
    <w:rsid w:val="198D7FA8"/>
    <w:rsid w:val="19AD1663"/>
    <w:rsid w:val="19C274A4"/>
    <w:rsid w:val="19EC17A6"/>
    <w:rsid w:val="1A0C35CC"/>
    <w:rsid w:val="1A6D6107"/>
    <w:rsid w:val="1A8F00F7"/>
    <w:rsid w:val="1B0632BE"/>
    <w:rsid w:val="1B0A07C2"/>
    <w:rsid w:val="1B0B7465"/>
    <w:rsid w:val="1B1C7B86"/>
    <w:rsid w:val="1B851293"/>
    <w:rsid w:val="1BC56256"/>
    <w:rsid w:val="1BF04774"/>
    <w:rsid w:val="1C120278"/>
    <w:rsid w:val="1C4329A2"/>
    <w:rsid w:val="1C4F7E37"/>
    <w:rsid w:val="1CA863A2"/>
    <w:rsid w:val="1CC029EA"/>
    <w:rsid w:val="1D1F3703"/>
    <w:rsid w:val="1D7B096A"/>
    <w:rsid w:val="1D9A4A87"/>
    <w:rsid w:val="1DF8378A"/>
    <w:rsid w:val="1E0E305B"/>
    <w:rsid w:val="1E322697"/>
    <w:rsid w:val="1E350089"/>
    <w:rsid w:val="1E707B77"/>
    <w:rsid w:val="1ECF69A9"/>
    <w:rsid w:val="1EED74B3"/>
    <w:rsid w:val="1EFE748B"/>
    <w:rsid w:val="1F166632"/>
    <w:rsid w:val="1FC17D84"/>
    <w:rsid w:val="1FDF7369"/>
    <w:rsid w:val="204C6319"/>
    <w:rsid w:val="204E170C"/>
    <w:rsid w:val="2081609A"/>
    <w:rsid w:val="20847959"/>
    <w:rsid w:val="20C16837"/>
    <w:rsid w:val="20E54820"/>
    <w:rsid w:val="20EC1DD0"/>
    <w:rsid w:val="211160C9"/>
    <w:rsid w:val="211648E8"/>
    <w:rsid w:val="21386C03"/>
    <w:rsid w:val="213D008F"/>
    <w:rsid w:val="21A60DD5"/>
    <w:rsid w:val="21E05A1D"/>
    <w:rsid w:val="220F66EA"/>
    <w:rsid w:val="221C457A"/>
    <w:rsid w:val="22211181"/>
    <w:rsid w:val="223124D5"/>
    <w:rsid w:val="22F033BC"/>
    <w:rsid w:val="239C0205"/>
    <w:rsid w:val="23D572C4"/>
    <w:rsid w:val="23F2002D"/>
    <w:rsid w:val="241816F8"/>
    <w:rsid w:val="243775F7"/>
    <w:rsid w:val="246B1C4D"/>
    <w:rsid w:val="2477606E"/>
    <w:rsid w:val="24A743E8"/>
    <w:rsid w:val="24AA1159"/>
    <w:rsid w:val="24BB42C7"/>
    <w:rsid w:val="251645DF"/>
    <w:rsid w:val="25675B72"/>
    <w:rsid w:val="25761D10"/>
    <w:rsid w:val="2580336A"/>
    <w:rsid w:val="25965F35"/>
    <w:rsid w:val="25BB59F6"/>
    <w:rsid w:val="26107432"/>
    <w:rsid w:val="26120F59"/>
    <w:rsid w:val="265C4962"/>
    <w:rsid w:val="265D0DEC"/>
    <w:rsid w:val="267970AE"/>
    <w:rsid w:val="26845E70"/>
    <w:rsid w:val="26A20C47"/>
    <w:rsid w:val="26A5616C"/>
    <w:rsid w:val="26EC3C8B"/>
    <w:rsid w:val="272314D2"/>
    <w:rsid w:val="2750661D"/>
    <w:rsid w:val="275C4820"/>
    <w:rsid w:val="27660A73"/>
    <w:rsid w:val="27BE5411"/>
    <w:rsid w:val="27D92F22"/>
    <w:rsid w:val="28195771"/>
    <w:rsid w:val="28C441C4"/>
    <w:rsid w:val="28DB7192"/>
    <w:rsid w:val="290563D8"/>
    <w:rsid w:val="291E3E1E"/>
    <w:rsid w:val="29F51563"/>
    <w:rsid w:val="2A1035CD"/>
    <w:rsid w:val="2A115056"/>
    <w:rsid w:val="2A2E6FAF"/>
    <w:rsid w:val="2A373009"/>
    <w:rsid w:val="2B096E66"/>
    <w:rsid w:val="2B1C4849"/>
    <w:rsid w:val="2B237573"/>
    <w:rsid w:val="2B2D2A0D"/>
    <w:rsid w:val="2B497474"/>
    <w:rsid w:val="2B72537A"/>
    <w:rsid w:val="2B727352"/>
    <w:rsid w:val="2BA91706"/>
    <w:rsid w:val="2BF10171"/>
    <w:rsid w:val="2C3F26FE"/>
    <w:rsid w:val="2C6F20F6"/>
    <w:rsid w:val="2C78176C"/>
    <w:rsid w:val="2C7C01EF"/>
    <w:rsid w:val="2D0E4C39"/>
    <w:rsid w:val="2D406CBA"/>
    <w:rsid w:val="2D4B28DF"/>
    <w:rsid w:val="2D7011BA"/>
    <w:rsid w:val="2D7B45E4"/>
    <w:rsid w:val="2DB26ECF"/>
    <w:rsid w:val="2DB37107"/>
    <w:rsid w:val="2E49355C"/>
    <w:rsid w:val="2E8627EF"/>
    <w:rsid w:val="2E996E81"/>
    <w:rsid w:val="2EA96E2B"/>
    <w:rsid w:val="2EDB66EB"/>
    <w:rsid w:val="2FA35D76"/>
    <w:rsid w:val="2FAC6ACB"/>
    <w:rsid w:val="2FC37886"/>
    <w:rsid w:val="2FDF5E31"/>
    <w:rsid w:val="3014128B"/>
    <w:rsid w:val="30415086"/>
    <w:rsid w:val="3048583B"/>
    <w:rsid w:val="30590F19"/>
    <w:rsid w:val="307063F5"/>
    <w:rsid w:val="3079000C"/>
    <w:rsid w:val="309F7453"/>
    <w:rsid w:val="30CF7315"/>
    <w:rsid w:val="313158F6"/>
    <w:rsid w:val="31511017"/>
    <w:rsid w:val="31557172"/>
    <w:rsid w:val="316176EE"/>
    <w:rsid w:val="31713803"/>
    <w:rsid w:val="31824F4A"/>
    <w:rsid w:val="318D1368"/>
    <w:rsid w:val="31AD1AC9"/>
    <w:rsid w:val="31B44C06"/>
    <w:rsid w:val="31F56054"/>
    <w:rsid w:val="325472C8"/>
    <w:rsid w:val="32F30658"/>
    <w:rsid w:val="32FD4C13"/>
    <w:rsid w:val="3335032B"/>
    <w:rsid w:val="334559DD"/>
    <w:rsid w:val="335073C9"/>
    <w:rsid w:val="33596E22"/>
    <w:rsid w:val="34187671"/>
    <w:rsid w:val="34246A93"/>
    <w:rsid w:val="34295E9D"/>
    <w:rsid w:val="34643001"/>
    <w:rsid w:val="3487552C"/>
    <w:rsid w:val="34AF260A"/>
    <w:rsid w:val="34E76B58"/>
    <w:rsid w:val="34E801D4"/>
    <w:rsid w:val="35176328"/>
    <w:rsid w:val="355F29CC"/>
    <w:rsid w:val="35862279"/>
    <w:rsid w:val="358640E4"/>
    <w:rsid w:val="35A30A34"/>
    <w:rsid w:val="35CB4650"/>
    <w:rsid w:val="35D908E3"/>
    <w:rsid w:val="35DB0BB6"/>
    <w:rsid w:val="363A147C"/>
    <w:rsid w:val="365F318D"/>
    <w:rsid w:val="367B05A7"/>
    <w:rsid w:val="368167BA"/>
    <w:rsid w:val="36851D82"/>
    <w:rsid w:val="368E4C10"/>
    <w:rsid w:val="37441AFA"/>
    <w:rsid w:val="374424D5"/>
    <w:rsid w:val="375172FB"/>
    <w:rsid w:val="378D6D31"/>
    <w:rsid w:val="37C8008C"/>
    <w:rsid w:val="38392775"/>
    <w:rsid w:val="38883C0B"/>
    <w:rsid w:val="38922D5C"/>
    <w:rsid w:val="38B27BBC"/>
    <w:rsid w:val="38C04DE8"/>
    <w:rsid w:val="38D45FA1"/>
    <w:rsid w:val="38DA2BC3"/>
    <w:rsid w:val="38F00477"/>
    <w:rsid w:val="391272FE"/>
    <w:rsid w:val="395F6B3E"/>
    <w:rsid w:val="399A7009"/>
    <w:rsid w:val="39A122E0"/>
    <w:rsid w:val="39CA18D3"/>
    <w:rsid w:val="3A6829C1"/>
    <w:rsid w:val="3ABB0DCB"/>
    <w:rsid w:val="3AD03DD7"/>
    <w:rsid w:val="3AFB0BC8"/>
    <w:rsid w:val="3B07094E"/>
    <w:rsid w:val="3B0C6840"/>
    <w:rsid w:val="3B151EDF"/>
    <w:rsid w:val="3B3571CD"/>
    <w:rsid w:val="3B405C87"/>
    <w:rsid w:val="3BF801AE"/>
    <w:rsid w:val="3C0A3C01"/>
    <w:rsid w:val="3C1D72D4"/>
    <w:rsid w:val="3C535D05"/>
    <w:rsid w:val="3CE95A5D"/>
    <w:rsid w:val="3D0330BC"/>
    <w:rsid w:val="3D385164"/>
    <w:rsid w:val="3D5D792C"/>
    <w:rsid w:val="3D8C5033"/>
    <w:rsid w:val="3DAE6785"/>
    <w:rsid w:val="3DD2620D"/>
    <w:rsid w:val="3E3D2269"/>
    <w:rsid w:val="3E774289"/>
    <w:rsid w:val="3E962414"/>
    <w:rsid w:val="3E9A4239"/>
    <w:rsid w:val="3F741854"/>
    <w:rsid w:val="3F75055B"/>
    <w:rsid w:val="3F91255C"/>
    <w:rsid w:val="3FB267E9"/>
    <w:rsid w:val="3FE537E0"/>
    <w:rsid w:val="40DC28F6"/>
    <w:rsid w:val="41193DE1"/>
    <w:rsid w:val="416F4CAC"/>
    <w:rsid w:val="41A654B3"/>
    <w:rsid w:val="41EA56D1"/>
    <w:rsid w:val="41F06F3B"/>
    <w:rsid w:val="420B0DBB"/>
    <w:rsid w:val="420D5896"/>
    <w:rsid w:val="424D5C3E"/>
    <w:rsid w:val="4292485B"/>
    <w:rsid w:val="42B404F2"/>
    <w:rsid w:val="42CD0EA8"/>
    <w:rsid w:val="43120AAE"/>
    <w:rsid w:val="4326062E"/>
    <w:rsid w:val="4345515D"/>
    <w:rsid w:val="434D77B4"/>
    <w:rsid w:val="437F332D"/>
    <w:rsid w:val="43861FA2"/>
    <w:rsid w:val="439307AD"/>
    <w:rsid w:val="43EE6FC4"/>
    <w:rsid w:val="43FE4A9D"/>
    <w:rsid w:val="4411325A"/>
    <w:rsid w:val="441546C2"/>
    <w:rsid w:val="442A7F70"/>
    <w:rsid w:val="442B4DEF"/>
    <w:rsid w:val="444B1983"/>
    <w:rsid w:val="448746D5"/>
    <w:rsid w:val="44A86D83"/>
    <w:rsid w:val="44E21F70"/>
    <w:rsid w:val="44E40CBD"/>
    <w:rsid w:val="45977B37"/>
    <w:rsid w:val="45A3734C"/>
    <w:rsid w:val="45C37C58"/>
    <w:rsid w:val="45D401E8"/>
    <w:rsid w:val="4602180D"/>
    <w:rsid w:val="46450049"/>
    <w:rsid w:val="464563AA"/>
    <w:rsid w:val="465D2B27"/>
    <w:rsid w:val="46601E11"/>
    <w:rsid w:val="475457FD"/>
    <w:rsid w:val="479B43EE"/>
    <w:rsid w:val="47A122D7"/>
    <w:rsid w:val="48050E99"/>
    <w:rsid w:val="4812553A"/>
    <w:rsid w:val="486977AB"/>
    <w:rsid w:val="488B775A"/>
    <w:rsid w:val="48F039E9"/>
    <w:rsid w:val="49401144"/>
    <w:rsid w:val="49AA6ED8"/>
    <w:rsid w:val="49AC6030"/>
    <w:rsid w:val="49BC712E"/>
    <w:rsid w:val="4A05324E"/>
    <w:rsid w:val="4AB37975"/>
    <w:rsid w:val="4ABC2457"/>
    <w:rsid w:val="4AE07264"/>
    <w:rsid w:val="4B062F5B"/>
    <w:rsid w:val="4B3E33C0"/>
    <w:rsid w:val="4B3F51DC"/>
    <w:rsid w:val="4B63055B"/>
    <w:rsid w:val="4BC20962"/>
    <w:rsid w:val="4BC7700E"/>
    <w:rsid w:val="4BE769E3"/>
    <w:rsid w:val="4C3350C2"/>
    <w:rsid w:val="4C5731A3"/>
    <w:rsid w:val="4CA067EF"/>
    <w:rsid w:val="4CA63A1A"/>
    <w:rsid w:val="4CB5452E"/>
    <w:rsid w:val="4D657E84"/>
    <w:rsid w:val="4D677237"/>
    <w:rsid w:val="4D8E6F46"/>
    <w:rsid w:val="4D9B162B"/>
    <w:rsid w:val="4E0E7184"/>
    <w:rsid w:val="4E152936"/>
    <w:rsid w:val="4E360F35"/>
    <w:rsid w:val="4E4C153C"/>
    <w:rsid w:val="4E5C3255"/>
    <w:rsid w:val="4E8C72A5"/>
    <w:rsid w:val="4EA62F79"/>
    <w:rsid w:val="4EAF7EAF"/>
    <w:rsid w:val="4EB60499"/>
    <w:rsid w:val="4ED62DA2"/>
    <w:rsid w:val="4F4971A3"/>
    <w:rsid w:val="4F5B5EE7"/>
    <w:rsid w:val="4FD55D07"/>
    <w:rsid w:val="4FFD7F4B"/>
    <w:rsid w:val="502E41F5"/>
    <w:rsid w:val="505E16DA"/>
    <w:rsid w:val="506466F8"/>
    <w:rsid w:val="506B057F"/>
    <w:rsid w:val="507E76E8"/>
    <w:rsid w:val="508442DA"/>
    <w:rsid w:val="508D7BF1"/>
    <w:rsid w:val="50B0282E"/>
    <w:rsid w:val="51122012"/>
    <w:rsid w:val="51510726"/>
    <w:rsid w:val="5158634A"/>
    <w:rsid w:val="516D2B19"/>
    <w:rsid w:val="51746A1C"/>
    <w:rsid w:val="51B43DC0"/>
    <w:rsid w:val="51C20093"/>
    <w:rsid w:val="526839D4"/>
    <w:rsid w:val="528E3E1C"/>
    <w:rsid w:val="52932B15"/>
    <w:rsid w:val="53081231"/>
    <w:rsid w:val="53600442"/>
    <w:rsid w:val="538E7403"/>
    <w:rsid w:val="53DE1C93"/>
    <w:rsid w:val="53F94775"/>
    <w:rsid w:val="54254A38"/>
    <w:rsid w:val="54816D97"/>
    <w:rsid w:val="554E447F"/>
    <w:rsid w:val="557C0416"/>
    <w:rsid w:val="55A77982"/>
    <w:rsid w:val="55AB653A"/>
    <w:rsid w:val="55C27DF9"/>
    <w:rsid w:val="55FD3091"/>
    <w:rsid w:val="562F6893"/>
    <w:rsid w:val="56332FB1"/>
    <w:rsid w:val="56454CA1"/>
    <w:rsid w:val="56B7324D"/>
    <w:rsid w:val="56E43DA1"/>
    <w:rsid w:val="578902E4"/>
    <w:rsid w:val="578E3F71"/>
    <w:rsid w:val="57BE2465"/>
    <w:rsid w:val="57C44DBD"/>
    <w:rsid w:val="57D86229"/>
    <w:rsid w:val="582E76A0"/>
    <w:rsid w:val="58480F10"/>
    <w:rsid w:val="587861A2"/>
    <w:rsid w:val="58EC27F2"/>
    <w:rsid w:val="58F573AF"/>
    <w:rsid w:val="59023427"/>
    <w:rsid w:val="59242618"/>
    <w:rsid w:val="5945142B"/>
    <w:rsid w:val="597B1226"/>
    <w:rsid w:val="59C90D47"/>
    <w:rsid w:val="59D246EE"/>
    <w:rsid w:val="59FE1089"/>
    <w:rsid w:val="5A132C20"/>
    <w:rsid w:val="5A371888"/>
    <w:rsid w:val="5A3E5188"/>
    <w:rsid w:val="5A401E1F"/>
    <w:rsid w:val="5A7F0BFB"/>
    <w:rsid w:val="5AC41985"/>
    <w:rsid w:val="5AD25631"/>
    <w:rsid w:val="5AF75819"/>
    <w:rsid w:val="5AF92480"/>
    <w:rsid w:val="5B3327D2"/>
    <w:rsid w:val="5B332CEB"/>
    <w:rsid w:val="5B3439B1"/>
    <w:rsid w:val="5B480D96"/>
    <w:rsid w:val="5B4F3DD5"/>
    <w:rsid w:val="5B5C0646"/>
    <w:rsid w:val="5B5D1BAA"/>
    <w:rsid w:val="5B5F2276"/>
    <w:rsid w:val="5B9407E5"/>
    <w:rsid w:val="5B97286A"/>
    <w:rsid w:val="5BAB0995"/>
    <w:rsid w:val="5BFD3CC2"/>
    <w:rsid w:val="5C390BF5"/>
    <w:rsid w:val="5C48347A"/>
    <w:rsid w:val="5C5118B1"/>
    <w:rsid w:val="5C73319D"/>
    <w:rsid w:val="5C892785"/>
    <w:rsid w:val="5C8C359F"/>
    <w:rsid w:val="5CA24030"/>
    <w:rsid w:val="5CA45E3F"/>
    <w:rsid w:val="5CAC5A2F"/>
    <w:rsid w:val="5CB80D06"/>
    <w:rsid w:val="5CE21551"/>
    <w:rsid w:val="5CFD11EB"/>
    <w:rsid w:val="5D331D8C"/>
    <w:rsid w:val="5D456E24"/>
    <w:rsid w:val="5D4D106B"/>
    <w:rsid w:val="5D967917"/>
    <w:rsid w:val="5DA13481"/>
    <w:rsid w:val="5DA3264C"/>
    <w:rsid w:val="5DAD5992"/>
    <w:rsid w:val="5DC66305"/>
    <w:rsid w:val="5DCC025C"/>
    <w:rsid w:val="5E0A1E37"/>
    <w:rsid w:val="5E4506EE"/>
    <w:rsid w:val="5E451916"/>
    <w:rsid w:val="5E627B06"/>
    <w:rsid w:val="5E9F7398"/>
    <w:rsid w:val="5EA579F1"/>
    <w:rsid w:val="5EA80A59"/>
    <w:rsid w:val="5EF42A52"/>
    <w:rsid w:val="5F7246B1"/>
    <w:rsid w:val="5F731427"/>
    <w:rsid w:val="5F8524A8"/>
    <w:rsid w:val="5FDB433D"/>
    <w:rsid w:val="605C71A6"/>
    <w:rsid w:val="60741834"/>
    <w:rsid w:val="6081598A"/>
    <w:rsid w:val="60E7037A"/>
    <w:rsid w:val="610C3E36"/>
    <w:rsid w:val="611E2848"/>
    <w:rsid w:val="612C17B7"/>
    <w:rsid w:val="61500D3F"/>
    <w:rsid w:val="616C6523"/>
    <w:rsid w:val="61736F02"/>
    <w:rsid w:val="61803A85"/>
    <w:rsid w:val="61E709D9"/>
    <w:rsid w:val="62352FFF"/>
    <w:rsid w:val="627B4D55"/>
    <w:rsid w:val="62A70C65"/>
    <w:rsid w:val="62D47409"/>
    <w:rsid w:val="62E80ADC"/>
    <w:rsid w:val="63230A67"/>
    <w:rsid w:val="634F3AAA"/>
    <w:rsid w:val="637355AF"/>
    <w:rsid w:val="63834150"/>
    <w:rsid w:val="63C55A37"/>
    <w:rsid w:val="641114C2"/>
    <w:rsid w:val="643E1920"/>
    <w:rsid w:val="64746776"/>
    <w:rsid w:val="64777EE0"/>
    <w:rsid w:val="647E26F4"/>
    <w:rsid w:val="64C7640B"/>
    <w:rsid w:val="650A37C0"/>
    <w:rsid w:val="65865B90"/>
    <w:rsid w:val="65954BB7"/>
    <w:rsid w:val="65A468C7"/>
    <w:rsid w:val="65CA3C27"/>
    <w:rsid w:val="65CF1274"/>
    <w:rsid w:val="65F1331A"/>
    <w:rsid w:val="65F91B21"/>
    <w:rsid w:val="6635524F"/>
    <w:rsid w:val="667F191D"/>
    <w:rsid w:val="66C22BEA"/>
    <w:rsid w:val="66F72967"/>
    <w:rsid w:val="673D7D81"/>
    <w:rsid w:val="677C4248"/>
    <w:rsid w:val="67816A16"/>
    <w:rsid w:val="67CD49F7"/>
    <w:rsid w:val="67F909FB"/>
    <w:rsid w:val="685C4343"/>
    <w:rsid w:val="685E643A"/>
    <w:rsid w:val="68E816AC"/>
    <w:rsid w:val="68EF5CFC"/>
    <w:rsid w:val="690A53F4"/>
    <w:rsid w:val="694E7E88"/>
    <w:rsid w:val="696A0F78"/>
    <w:rsid w:val="69721416"/>
    <w:rsid w:val="697F7BA7"/>
    <w:rsid w:val="698E3722"/>
    <w:rsid w:val="6A1B4D9C"/>
    <w:rsid w:val="6A59776D"/>
    <w:rsid w:val="6AE62850"/>
    <w:rsid w:val="6B0C140E"/>
    <w:rsid w:val="6B104561"/>
    <w:rsid w:val="6B5741C6"/>
    <w:rsid w:val="6B68782B"/>
    <w:rsid w:val="6B7F19ED"/>
    <w:rsid w:val="6B80766C"/>
    <w:rsid w:val="6BD076EB"/>
    <w:rsid w:val="6BDD1391"/>
    <w:rsid w:val="6C364B30"/>
    <w:rsid w:val="6C6F301E"/>
    <w:rsid w:val="6C944439"/>
    <w:rsid w:val="6CF64F69"/>
    <w:rsid w:val="6D1E4002"/>
    <w:rsid w:val="6D81311F"/>
    <w:rsid w:val="6DD65CC0"/>
    <w:rsid w:val="6E587442"/>
    <w:rsid w:val="6E9D36E4"/>
    <w:rsid w:val="6F422098"/>
    <w:rsid w:val="6FC06680"/>
    <w:rsid w:val="6FC8208A"/>
    <w:rsid w:val="6FD14798"/>
    <w:rsid w:val="6FF24E7B"/>
    <w:rsid w:val="700624DF"/>
    <w:rsid w:val="708F51F5"/>
    <w:rsid w:val="70946D59"/>
    <w:rsid w:val="710032F2"/>
    <w:rsid w:val="71066A75"/>
    <w:rsid w:val="71790873"/>
    <w:rsid w:val="7188124D"/>
    <w:rsid w:val="71C41CF5"/>
    <w:rsid w:val="71CE51A5"/>
    <w:rsid w:val="71DD525F"/>
    <w:rsid w:val="71DF01EE"/>
    <w:rsid w:val="71EA214A"/>
    <w:rsid w:val="71FC7BB1"/>
    <w:rsid w:val="722F540E"/>
    <w:rsid w:val="724162C8"/>
    <w:rsid w:val="726300B6"/>
    <w:rsid w:val="72902B04"/>
    <w:rsid w:val="72DC7380"/>
    <w:rsid w:val="731C38EE"/>
    <w:rsid w:val="738300FC"/>
    <w:rsid w:val="73974230"/>
    <w:rsid w:val="73B53D7E"/>
    <w:rsid w:val="74152AAA"/>
    <w:rsid w:val="748F00C1"/>
    <w:rsid w:val="74B67455"/>
    <w:rsid w:val="751666FA"/>
    <w:rsid w:val="75746C5B"/>
    <w:rsid w:val="75880263"/>
    <w:rsid w:val="75B34235"/>
    <w:rsid w:val="75D170D5"/>
    <w:rsid w:val="760C0843"/>
    <w:rsid w:val="763D1393"/>
    <w:rsid w:val="76432EE3"/>
    <w:rsid w:val="76455E4F"/>
    <w:rsid w:val="76580DB5"/>
    <w:rsid w:val="76683819"/>
    <w:rsid w:val="766A7551"/>
    <w:rsid w:val="76B85AB3"/>
    <w:rsid w:val="76BE02F6"/>
    <w:rsid w:val="77170059"/>
    <w:rsid w:val="77566AC0"/>
    <w:rsid w:val="77781D74"/>
    <w:rsid w:val="7794351F"/>
    <w:rsid w:val="77D05597"/>
    <w:rsid w:val="77DA4EAA"/>
    <w:rsid w:val="78B7454C"/>
    <w:rsid w:val="790124E5"/>
    <w:rsid w:val="79B50780"/>
    <w:rsid w:val="79E03398"/>
    <w:rsid w:val="79F54EFD"/>
    <w:rsid w:val="7A1A772F"/>
    <w:rsid w:val="7A5E0968"/>
    <w:rsid w:val="7A676ADC"/>
    <w:rsid w:val="7A8559E0"/>
    <w:rsid w:val="7A8D242B"/>
    <w:rsid w:val="7AAC3FEE"/>
    <w:rsid w:val="7AB80E0F"/>
    <w:rsid w:val="7AB87F8A"/>
    <w:rsid w:val="7AC6381C"/>
    <w:rsid w:val="7AC6767C"/>
    <w:rsid w:val="7AE437FB"/>
    <w:rsid w:val="7B055F09"/>
    <w:rsid w:val="7B2A0F55"/>
    <w:rsid w:val="7B3613FD"/>
    <w:rsid w:val="7B735E8C"/>
    <w:rsid w:val="7BE35162"/>
    <w:rsid w:val="7BF3536A"/>
    <w:rsid w:val="7C3D27BF"/>
    <w:rsid w:val="7C6A62AD"/>
    <w:rsid w:val="7C901869"/>
    <w:rsid w:val="7CE62525"/>
    <w:rsid w:val="7D6079AC"/>
    <w:rsid w:val="7D720D78"/>
    <w:rsid w:val="7D9B0EE9"/>
    <w:rsid w:val="7DB1371A"/>
    <w:rsid w:val="7E044DCC"/>
    <w:rsid w:val="7E333DE0"/>
    <w:rsid w:val="7F4914B1"/>
    <w:rsid w:val="7F564141"/>
    <w:rsid w:val="7F7C6E23"/>
    <w:rsid w:val="7FA33C59"/>
    <w:rsid w:val="7FA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ind w:firstLine="200" w:firstLineChars="200"/>
    </w:pPr>
    <w:rPr>
      <w:rFonts w:eastAsia="仿宋_GB2312"/>
      <w:sz w:val="36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eastAsia="仿宋_GB2312"/>
      <w:b/>
      <w:bCs/>
      <w:kern w:val="44"/>
      <w:sz w:val="44"/>
      <w:szCs w:val="24"/>
    </w:rPr>
  </w:style>
  <w:style w:type="character" w:customStyle="1" w:styleId="11">
    <w:name w:val="页脚 字符"/>
    <w:basedOn w:val="9"/>
    <w:link w:val="4"/>
    <w:qFormat/>
    <w:uiPriority w:val="99"/>
    <w:rPr>
      <w:rFonts w:ascii="Tahoma" w:hAnsi="Tahoma" w:eastAsia="微软雅黑"/>
      <w:sz w:val="18"/>
      <w:szCs w:val="18"/>
    </w:rPr>
  </w:style>
  <w:style w:type="paragraph" w:customStyle="1" w:styleId="12">
    <w:name w:val="Body text|2"/>
    <w:basedOn w:val="1"/>
    <w:qFormat/>
    <w:uiPriority w:val="0"/>
    <w:pPr>
      <w:widowControl w:val="0"/>
      <w:spacing w:line="379" w:lineRule="auto"/>
      <w:ind w:firstLine="62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9044;&#31639;&#20849;&#20139;\&#20154;&#22823;&#27719;&#25253;\2024&#24180;&#20915;&#31639;&#21450;2025&#24180;1-6&#26376;&#25191;&#34892;&#24773;&#20917;\2024&#24180;&#20915;&#31639;&#21450;2025&#24180;1-6&#26376;&#25191;&#34892;&#24773;&#20917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5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年1-6月一般公共预算支出（单位：万元）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85176358436606"/>
          <c:y val="0.180498903508772"/>
          <c:w val="0.612030505243089"/>
          <c:h val="0.703969298245614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explosion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explosion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explosion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explosion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explosion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explosion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explosion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explosion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explosion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explosion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37370276832283"/>
                  <c:y val="0.066169017696190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55375847774"/>
                  <c:y val="0.10595962719990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85393403209222"/>
                  <c:y val="0.013254032018590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09235822182496"/>
                  <c:y val="-0.0045091031010101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51075557708083"/>
                  <c:y val="0.052605449399139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451938119242135"/>
                  <c:y val="0.020295983086680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294125572480258"/>
                  <c:y val="0.029454754914820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231635698835246"/>
                  <c:y val="0.04245349736115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407545519651209"/>
                  <c:y val="0.015140903972966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263686610715971"/>
                  <c:y val="0.045755976914727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143482683740687"/>
                  <c:y val="0.058230836977661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71455955943596"/>
                  <c:y val="0.01414502595859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189107493287749"/>
                  <c:y val="-0.018693413017783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0.177001524257754"/>
                  <c:y val="0.020511960835347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000000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'[2024年决算及2025年1-6月执行情况表.xls]2025年1-6月支出执行'!$U$7:$U$21</c:f>
              <c:strCache>
                <c:ptCount val="15"/>
                <c:pt idx="0">
                  <c:v>一般公共服务</c:v>
                </c:pt>
                <c:pt idx="1">
                  <c:v>公共安全</c:v>
                </c:pt>
                <c:pt idx="2">
                  <c:v>教育</c:v>
                </c:pt>
                <c:pt idx="3">
                  <c:v>科学技术</c:v>
                </c:pt>
                <c:pt idx="4">
                  <c:v>文化旅游体育与传媒</c:v>
                </c:pt>
                <c:pt idx="5">
                  <c:v>社会保障和就业</c:v>
                </c:pt>
                <c:pt idx="6">
                  <c:v>卫生健康</c:v>
                </c:pt>
                <c:pt idx="7">
                  <c:v>节能环保</c:v>
                </c:pt>
                <c:pt idx="8">
                  <c:v>城乡社区</c:v>
                </c:pt>
                <c:pt idx="9">
                  <c:v>农林水</c:v>
                </c:pt>
                <c:pt idx="10">
                  <c:v>交通运输</c:v>
                </c:pt>
                <c:pt idx="11">
                  <c:v>债务付息</c:v>
                </c:pt>
                <c:pt idx="12">
                  <c:v>住房保障</c:v>
                </c:pt>
                <c:pt idx="13">
                  <c:v>灾害防治及应急管理</c:v>
                </c:pt>
                <c:pt idx="14">
                  <c:v>自然资源海洋气象等</c:v>
                </c:pt>
              </c:strCache>
            </c:strRef>
          </c:cat>
          <c:val>
            <c:numRef>
              <c:f>'[2024年决算及2025年1-6月执行情况表.xls]2025年1-6月支出执行'!$V$7:$V$21</c:f>
              <c:numCache>
                <c:formatCode>#,##0</c:formatCode>
                <c:ptCount val="15"/>
                <c:pt idx="0">
                  <c:v>16720</c:v>
                </c:pt>
                <c:pt idx="1">
                  <c:v>6209</c:v>
                </c:pt>
                <c:pt idx="2">
                  <c:v>45887</c:v>
                </c:pt>
                <c:pt idx="3">
                  <c:v>11074</c:v>
                </c:pt>
                <c:pt idx="4">
                  <c:v>1341</c:v>
                </c:pt>
                <c:pt idx="5">
                  <c:v>40926</c:v>
                </c:pt>
                <c:pt idx="6">
                  <c:v>14390</c:v>
                </c:pt>
                <c:pt idx="7">
                  <c:v>4406</c:v>
                </c:pt>
                <c:pt idx="8">
                  <c:v>9150</c:v>
                </c:pt>
                <c:pt idx="9">
                  <c:v>39000</c:v>
                </c:pt>
                <c:pt idx="10">
                  <c:v>3841</c:v>
                </c:pt>
                <c:pt idx="11">
                  <c:v>5408</c:v>
                </c:pt>
                <c:pt idx="12">
                  <c:v>6481</c:v>
                </c:pt>
                <c:pt idx="13">
                  <c:v>1428</c:v>
                </c:pt>
                <c:pt idx="14" c:formatCode="General">
                  <c:v>6309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2858504049547"/>
          <c:y val="0.0804259492784083"/>
          <c:w val="0.2415"/>
          <c:h val="0.78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8072</Words>
  <Characters>8852</Characters>
  <Lines>63</Lines>
  <Paragraphs>17</Paragraphs>
  <TotalTime>4</TotalTime>
  <ScaleCrop>false</ScaleCrop>
  <LinksUpToDate>false</LinksUpToDate>
  <CharactersWithSpaces>8857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2023-02-11T08:57:00Z</dcterms:created>
  <dc:creator>Administrator</dc:creator>
  <cp:lastModifiedBy>Administrator</cp:lastModifiedBy>
  <cp:lastPrinted>2023-01-05T01:17:00Z</cp:lastPrinted>
  <dcterms:modified xsi:type="dcterms:W3CDTF">2025-12-10T06:24:40Z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SaveFontToCloudKey">
    <vt:lpwstr>17855387_btnclosed</vt:lpwstr>
  </property>
  <property fmtid="{D5CDD505-2E9C-101B-9397-08002B2CF9AE}" pid="4" name="ICV">
    <vt:lpwstr>F51F86E6615446EDAC8E17DA951EA0BE</vt:lpwstr>
  </property>
</Properties>
</file>