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eastAsia="黑体"/>
          <w:b w:val="0"/>
        </w:rPr>
      </w:pPr>
      <w:bookmarkStart w:id="0" w:name="_Toc300678593"/>
      <w:bookmarkStart w:id="1" w:name="_Toc80006275"/>
      <w:bookmarkStart w:id="2" w:name="_Toc80006165"/>
      <w:r>
        <w:rPr>
          <w:rFonts w:ascii="Times New Roman" w:hAnsi="Times New Roman" w:eastAsia="黑体"/>
          <w:b w:val="0"/>
        </w:rPr>
        <w:t>第二</w:t>
      </w:r>
      <w:r>
        <w:rPr>
          <w:rFonts w:hint="eastAsia" w:ascii="Times New Roman" w:hAnsi="Times New Roman" w:eastAsia="黑体"/>
          <w:b w:val="0"/>
        </w:rPr>
        <w:t>节</w:t>
      </w:r>
      <w:r>
        <w:rPr>
          <w:rFonts w:ascii="Times New Roman" w:hAnsi="Times New Roman" w:eastAsia="黑体"/>
          <w:b w:val="0"/>
        </w:rPr>
        <w:t xml:space="preserve"> 投标报价</w:t>
      </w:r>
      <w:bookmarkEnd w:id="0"/>
      <w:r>
        <w:rPr>
          <w:rFonts w:ascii="Times New Roman" w:hAnsi="Times New Roman" w:eastAsia="黑体"/>
          <w:b w:val="0"/>
        </w:rPr>
        <w:t>格式</w:t>
      </w:r>
      <w:bookmarkEnd w:id="1"/>
      <w:bookmarkEnd w:id="2"/>
    </w:p>
    <w:p>
      <w:pPr>
        <w:widowControl/>
      </w:pPr>
    </w:p>
    <w:p>
      <w:pPr>
        <w:widowControl/>
      </w:pPr>
    </w:p>
    <w:p>
      <w:pPr>
        <w:widowControl/>
      </w:pPr>
    </w:p>
    <w:p>
      <w:pPr>
        <w:widowControl/>
      </w:pPr>
    </w:p>
    <w:p>
      <w:pPr>
        <w:widowControl/>
      </w:pPr>
    </w:p>
    <w:p>
      <w:pPr>
        <w:widowControl/>
      </w:pPr>
    </w:p>
    <w:p>
      <w:pPr>
        <w:widowControl/>
      </w:pPr>
    </w:p>
    <w:p>
      <w:pPr>
        <w:widowControl/>
        <w:jc w:val="center"/>
        <w:rPr>
          <w:rFonts w:eastAsia="黑体"/>
          <w:sz w:val="28"/>
          <w:szCs w:val="28"/>
        </w:rPr>
      </w:pPr>
      <w:r>
        <w:rPr>
          <w:rFonts w:eastAsia="黑体"/>
          <w:color w:val="000000"/>
          <w:sz w:val="28"/>
          <w:szCs w:val="28"/>
          <w:u w:val="single"/>
        </w:rPr>
        <w:t xml:space="preserve">            </w:t>
      </w:r>
      <w:r>
        <w:rPr>
          <w:rFonts w:eastAsia="黑体"/>
          <w:sz w:val="28"/>
          <w:szCs w:val="28"/>
        </w:rPr>
        <w:t>（项目名称）施工招标</w:t>
      </w:r>
    </w:p>
    <w:p>
      <w:pPr>
        <w:spacing w:before="240" w:beforeLines="100"/>
        <w:jc w:val="center"/>
        <w:rPr>
          <w:rFonts w:eastAsia="黑体"/>
          <w:sz w:val="44"/>
          <w:szCs w:val="44"/>
        </w:rPr>
      </w:pPr>
      <w:r>
        <w:rPr>
          <w:rFonts w:eastAsia="黑体"/>
          <w:sz w:val="44"/>
          <w:szCs w:val="44"/>
        </w:rPr>
        <w:t>投  标  文  件</w:t>
      </w:r>
    </w:p>
    <w:p>
      <w:pPr>
        <w:jc w:val="center"/>
        <w:rPr>
          <w:rFonts w:eastAsia="黑体"/>
          <w:sz w:val="32"/>
          <w:szCs w:val="32"/>
        </w:rPr>
      </w:pPr>
      <w:r>
        <w:rPr>
          <w:rFonts w:eastAsia="黑体"/>
          <w:sz w:val="32"/>
          <w:szCs w:val="32"/>
        </w:rPr>
        <w:t>（投标报价）</w:t>
      </w:r>
    </w:p>
    <w:p>
      <w:pPr>
        <w:jc w:val="center"/>
        <w:rPr>
          <w:rFonts w:eastAsia="黑体"/>
          <w:sz w:val="32"/>
          <w:szCs w:val="32"/>
        </w:rPr>
      </w:pPr>
      <w:r>
        <w:rPr>
          <w:rFonts w:eastAsia="黑体"/>
          <w:sz w:val="32"/>
          <w:szCs w:val="32"/>
        </w:rPr>
        <w:t>（招标编号：</w:t>
      </w:r>
      <w:r>
        <w:rPr>
          <w:rFonts w:eastAsia="黑体"/>
          <w:sz w:val="32"/>
          <w:szCs w:val="32"/>
          <w:u w:val="single"/>
        </w:rPr>
        <w:t xml:space="preserve">        </w:t>
      </w:r>
      <w:r>
        <w:rPr>
          <w:rFonts w:eastAsia="黑体"/>
          <w:sz w:val="32"/>
          <w:szCs w:val="32"/>
        </w:rPr>
        <w:t>）</w:t>
      </w: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spacing w:line="360" w:lineRule="auto"/>
        <w:jc w:val="left"/>
        <w:rPr>
          <w:rFonts w:eastAsia="黑体"/>
          <w:sz w:val="24"/>
          <w:szCs w:val="28"/>
        </w:rPr>
      </w:pPr>
      <w:r>
        <w:rPr>
          <w:rFonts w:eastAsia="黑体"/>
          <w:sz w:val="24"/>
          <w:szCs w:val="28"/>
        </w:rPr>
        <w:t xml:space="preserve">      投标人：</w:t>
      </w:r>
      <w:r>
        <w:rPr>
          <w:rFonts w:eastAsia="黑体"/>
          <w:sz w:val="24"/>
          <w:szCs w:val="28"/>
          <w:u w:val="single"/>
        </w:rPr>
        <w:t xml:space="preserve">                         </w:t>
      </w:r>
      <w:r>
        <w:rPr>
          <w:rFonts w:eastAsia="黑体"/>
          <w:sz w:val="24"/>
          <w:szCs w:val="28"/>
        </w:rPr>
        <w:t>（盖单位章）</w:t>
      </w:r>
    </w:p>
    <w:p>
      <w:pPr>
        <w:spacing w:line="360" w:lineRule="auto"/>
        <w:ind w:firstLine="480" w:firstLineChars="200"/>
        <w:rPr>
          <w:rFonts w:eastAsia="黑体"/>
          <w:sz w:val="28"/>
          <w:szCs w:val="28"/>
        </w:rPr>
      </w:pPr>
      <w:r>
        <w:rPr>
          <w:rFonts w:eastAsia="黑体"/>
          <w:sz w:val="24"/>
          <w:szCs w:val="28"/>
        </w:rPr>
        <w:t>法定代表人或其委托代理人：</w:t>
      </w:r>
      <w:r>
        <w:rPr>
          <w:rFonts w:eastAsia="黑体"/>
          <w:sz w:val="24"/>
          <w:szCs w:val="28"/>
          <w:u w:val="single"/>
        </w:rPr>
        <w:t xml:space="preserve">                    </w:t>
      </w:r>
      <w:r>
        <w:rPr>
          <w:rFonts w:eastAsia="黑体"/>
          <w:sz w:val="24"/>
          <w:szCs w:val="28"/>
        </w:rPr>
        <w:t>（签字</w:t>
      </w:r>
      <w:r>
        <w:rPr>
          <w:rFonts w:eastAsia="黑体"/>
          <w:kern w:val="0"/>
          <w:sz w:val="24"/>
          <w:szCs w:val="28"/>
        </w:rPr>
        <w:t>或盖章</w:t>
      </w:r>
      <w:r>
        <w:rPr>
          <w:rFonts w:eastAsia="黑体"/>
          <w:sz w:val="24"/>
          <w:szCs w:val="28"/>
        </w:rPr>
        <w:t>）</w:t>
      </w:r>
    </w:p>
    <w:p>
      <w:pPr>
        <w:jc w:val="center"/>
        <w:rPr>
          <w:rFonts w:eastAsia="黑体"/>
          <w:sz w:val="24"/>
          <w:szCs w:val="28"/>
        </w:rPr>
      </w:pPr>
      <w:r>
        <w:rPr>
          <w:rFonts w:eastAsia="黑体"/>
          <w:sz w:val="24"/>
          <w:szCs w:val="28"/>
          <w:u w:val="single"/>
        </w:rPr>
        <w:t xml:space="preserve">   </w:t>
      </w:r>
      <w:r>
        <w:rPr>
          <w:rFonts w:eastAsia="黑体"/>
          <w:sz w:val="24"/>
          <w:szCs w:val="28"/>
        </w:rPr>
        <w:t>年</w:t>
      </w:r>
      <w:r>
        <w:rPr>
          <w:rFonts w:eastAsia="黑体"/>
          <w:sz w:val="24"/>
          <w:szCs w:val="28"/>
          <w:u w:val="single"/>
        </w:rPr>
        <w:t xml:space="preserve">  </w:t>
      </w:r>
      <w:r>
        <w:rPr>
          <w:rFonts w:eastAsia="黑体"/>
          <w:sz w:val="24"/>
          <w:szCs w:val="28"/>
        </w:rPr>
        <w:t>月</w:t>
      </w:r>
      <w:r>
        <w:rPr>
          <w:rFonts w:eastAsia="黑体"/>
          <w:sz w:val="24"/>
          <w:szCs w:val="28"/>
          <w:u w:val="single"/>
        </w:rPr>
        <w:t xml:space="preserve">  </w:t>
      </w:r>
      <w:r>
        <w:rPr>
          <w:rFonts w:eastAsia="黑体"/>
          <w:sz w:val="24"/>
          <w:szCs w:val="28"/>
        </w:rPr>
        <w:t>日</w:t>
      </w:r>
    </w:p>
    <w:p>
      <w:pPr>
        <w:widowControl/>
      </w:pPr>
      <w:r>
        <w:rPr>
          <w:rFonts w:eastAsia="黑体"/>
          <w:sz w:val="28"/>
          <w:szCs w:val="28"/>
        </w:rPr>
        <w:br w:type="page"/>
      </w:r>
      <w:bookmarkStart w:id="3" w:name="_Toc300678594"/>
    </w:p>
    <w:p>
      <w:pPr>
        <w:pStyle w:val="4"/>
        <w:spacing w:before="0" w:after="0" w:line="240" w:lineRule="auto"/>
        <w:jc w:val="center"/>
        <w:rPr>
          <w:rFonts w:ascii="Times New Roman" w:hAnsi="Times New Roman" w:eastAsia="黑体"/>
          <w:b w:val="0"/>
          <w:bCs w:val="0"/>
          <w:sz w:val="36"/>
          <w:szCs w:val="36"/>
        </w:rPr>
      </w:pPr>
      <w:bookmarkStart w:id="4" w:name="_Toc9178591"/>
      <w:bookmarkStart w:id="5" w:name="_Toc80006276"/>
      <w:bookmarkStart w:id="6" w:name="_Toc80006166"/>
      <w:r>
        <w:rPr>
          <w:rFonts w:ascii="Times New Roman" w:hAnsi="Times New Roman" w:eastAsia="黑体"/>
          <w:b w:val="0"/>
          <w:bCs w:val="0"/>
          <w:sz w:val="36"/>
          <w:szCs w:val="36"/>
        </w:rPr>
        <w:t>目    录</w:t>
      </w:r>
      <w:bookmarkEnd w:id="3"/>
      <w:bookmarkEnd w:id="4"/>
      <w:bookmarkEnd w:id="5"/>
      <w:bookmarkEnd w:id="6"/>
    </w:p>
    <w:p>
      <w:pPr>
        <w:spacing w:line="360" w:lineRule="auto"/>
      </w:pPr>
    </w:p>
    <w:p>
      <w:pPr>
        <w:spacing w:line="360" w:lineRule="auto"/>
        <w:ind w:firstLine="420" w:firstLineChars="200"/>
      </w:pPr>
      <w:r>
        <w:fldChar w:fldCharType="begin"/>
      </w:r>
      <w:r>
        <w:instrText xml:space="preserve">HYPERLINK \l "_Toc300678595"</w:instrText>
      </w:r>
      <w:r>
        <w:fldChar w:fldCharType="separate"/>
      </w:r>
      <w:r>
        <w:rPr>
          <w:rFonts w:hint="eastAsia"/>
        </w:rPr>
        <w:t>1.</w:t>
      </w:r>
      <w:r>
        <w:rPr>
          <w:rStyle w:val="9"/>
          <w:color w:val="auto"/>
          <w:u w:val="none"/>
        </w:rPr>
        <w:t>已标价工程量清单内容</w:t>
      </w:r>
      <w:r>
        <w:tab/>
      </w:r>
      <w:r>
        <w:fldChar w:fldCharType="end"/>
      </w:r>
    </w:p>
    <w:p>
      <w:pPr>
        <w:spacing w:line="360" w:lineRule="auto"/>
        <w:ind w:firstLine="420" w:firstLineChars="200"/>
      </w:pPr>
      <w:r>
        <w:fldChar w:fldCharType="begin"/>
      </w:r>
      <w:r>
        <w:instrText xml:space="preserve">HYPERLINK \l "_Toc300678596"</w:instrText>
      </w:r>
      <w:r>
        <w:fldChar w:fldCharType="separate"/>
      </w:r>
      <w:r>
        <w:rPr>
          <w:rFonts w:hint="eastAsia"/>
        </w:rPr>
        <w:t>2.</w:t>
      </w:r>
      <w:r>
        <w:rPr>
          <w:rStyle w:val="9"/>
          <w:rFonts w:hint="eastAsia"/>
          <w:color w:val="auto"/>
          <w:u w:val="none"/>
        </w:rPr>
        <w:t>已</w:t>
      </w:r>
      <w:r>
        <w:rPr>
          <w:rStyle w:val="9"/>
          <w:color w:val="auto"/>
          <w:u w:val="none"/>
        </w:rPr>
        <w:t>标价工程量清单格式</w:t>
      </w:r>
      <w:r>
        <w:tab/>
      </w:r>
      <w:r>
        <w:fldChar w:fldCharType="end"/>
      </w:r>
    </w:p>
    <w:p>
      <w:pPr>
        <w:autoSpaceDE w:val="0"/>
        <w:autoSpaceDN w:val="0"/>
        <w:adjustRightInd w:val="0"/>
        <w:spacing w:before="64" w:line="360" w:lineRule="auto"/>
        <w:ind w:right="-23" w:firstLine="420" w:firstLineChars="200"/>
        <w:jc w:val="left"/>
        <w:rPr>
          <w:kern w:val="0"/>
          <w:szCs w:val="21"/>
        </w:rPr>
      </w:pPr>
      <w:r>
        <w:t xml:space="preserve">   </w:t>
      </w:r>
    </w:p>
    <w:p>
      <w:pPr>
        <w:autoSpaceDE w:val="0"/>
        <w:autoSpaceDN w:val="0"/>
        <w:adjustRightInd w:val="0"/>
        <w:spacing w:before="64"/>
        <w:ind w:right="-23" w:firstLine="420" w:firstLineChars="200"/>
        <w:jc w:val="left"/>
        <w:rPr>
          <w:kern w:val="0"/>
          <w:szCs w:val="21"/>
        </w:rPr>
      </w:pPr>
    </w:p>
    <w:p>
      <w:pPr>
        <w:autoSpaceDE w:val="0"/>
        <w:autoSpaceDN w:val="0"/>
        <w:adjustRightInd w:val="0"/>
        <w:spacing w:before="64"/>
        <w:ind w:right="-23" w:firstLine="420" w:firstLineChars="200"/>
        <w:jc w:val="left"/>
        <w:rPr>
          <w:kern w:val="0"/>
          <w:szCs w:val="21"/>
        </w:rPr>
      </w:pPr>
    </w:p>
    <w:p>
      <w:pPr>
        <w:autoSpaceDE w:val="0"/>
        <w:autoSpaceDN w:val="0"/>
        <w:adjustRightInd w:val="0"/>
        <w:spacing w:before="64"/>
        <w:ind w:right="-23" w:firstLine="420" w:firstLineChars="200"/>
        <w:jc w:val="left"/>
        <w:rPr>
          <w:kern w:val="0"/>
          <w:szCs w:val="21"/>
        </w:rPr>
      </w:pPr>
    </w:p>
    <w:p>
      <w:pPr>
        <w:autoSpaceDE w:val="0"/>
        <w:autoSpaceDN w:val="0"/>
        <w:adjustRightInd w:val="0"/>
        <w:spacing w:before="64"/>
        <w:ind w:right="-23" w:firstLine="420" w:firstLineChars="200"/>
        <w:jc w:val="left"/>
        <w:rPr>
          <w:kern w:val="0"/>
          <w:szCs w:val="21"/>
        </w:rPr>
      </w:pPr>
    </w:p>
    <w:p>
      <w:pPr>
        <w:autoSpaceDE w:val="0"/>
        <w:autoSpaceDN w:val="0"/>
        <w:adjustRightInd w:val="0"/>
        <w:spacing w:before="64"/>
        <w:ind w:right="-23" w:firstLine="420" w:firstLineChars="200"/>
        <w:jc w:val="left"/>
        <w:rPr>
          <w:kern w:val="0"/>
          <w:szCs w:val="21"/>
        </w:rPr>
      </w:pPr>
    </w:p>
    <w:p>
      <w:pPr>
        <w:autoSpaceDE w:val="0"/>
        <w:autoSpaceDN w:val="0"/>
        <w:adjustRightInd w:val="0"/>
        <w:spacing w:before="64"/>
        <w:ind w:right="-23" w:firstLine="420" w:firstLineChars="200"/>
        <w:jc w:val="left"/>
        <w:rPr>
          <w:kern w:val="0"/>
          <w:szCs w:val="21"/>
        </w:rPr>
      </w:pPr>
    </w:p>
    <w:p>
      <w:pPr>
        <w:widowControl/>
        <w:jc w:val="left"/>
        <w:rPr>
          <w:kern w:val="0"/>
          <w:szCs w:val="21"/>
        </w:rPr>
      </w:pPr>
      <w:r>
        <w:rPr>
          <w:kern w:val="0"/>
          <w:szCs w:val="21"/>
        </w:rPr>
        <w:br w:type="page"/>
      </w:r>
    </w:p>
    <w:p>
      <w:pPr>
        <w:pStyle w:val="6"/>
        <w:tabs>
          <w:tab w:val="right" w:leader="dot" w:pos="8720"/>
        </w:tabs>
        <w:ind w:left="0" w:leftChars="0"/>
        <w:jc w:val="left"/>
      </w:pPr>
    </w:p>
    <w:p>
      <w:pPr>
        <w:pStyle w:val="5"/>
        <w:keepNext/>
        <w:keepLines/>
        <w:widowControl w:val="0"/>
        <w:jc w:val="left"/>
        <w:rPr>
          <w:rFonts w:eastAsia="黑体"/>
          <w:b w:val="0"/>
          <w:sz w:val="28"/>
          <w:szCs w:val="28"/>
        </w:rPr>
      </w:pPr>
      <w:bookmarkStart w:id="7" w:name="_Toc80006277"/>
      <w:bookmarkStart w:id="8" w:name="_Toc9178592"/>
      <w:bookmarkStart w:id="9" w:name="_Toc300678595"/>
      <w:bookmarkStart w:id="10" w:name="_Toc80006167"/>
      <w:r>
        <w:rPr>
          <w:rFonts w:hint="eastAsia" w:eastAsia="黑体"/>
          <w:b w:val="0"/>
          <w:sz w:val="28"/>
          <w:szCs w:val="28"/>
        </w:rPr>
        <w:t>1.</w:t>
      </w:r>
      <w:r>
        <w:rPr>
          <w:rFonts w:eastAsia="黑体"/>
          <w:b w:val="0"/>
          <w:sz w:val="28"/>
          <w:szCs w:val="28"/>
        </w:rPr>
        <w:t>已标价工程量清单内容</w:t>
      </w:r>
      <w:bookmarkEnd w:id="7"/>
      <w:bookmarkEnd w:id="8"/>
      <w:bookmarkEnd w:id="9"/>
      <w:bookmarkEnd w:id="10"/>
    </w:p>
    <w:p>
      <w:pPr>
        <w:pStyle w:val="10"/>
        <w:autoSpaceDE w:val="0"/>
        <w:autoSpaceDN w:val="0"/>
        <w:adjustRightInd w:val="0"/>
        <w:spacing w:before="64" w:line="360" w:lineRule="auto"/>
        <w:ind w:right="-23"/>
        <w:jc w:val="left"/>
      </w:pPr>
      <w:r>
        <w:rPr>
          <w:rFonts w:hint="eastAsia"/>
        </w:rPr>
        <w:t>（</w:t>
      </w:r>
      <w:r>
        <w:t>1</w:t>
      </w:r>
      <w:r>
        <w:rPr>
          <w:rFonts w:hint="eastAsia"/>
        </w:rPr>
        <w:t>）投标总价封面；</w:t>
      </w:r>
    </w:p>
    <w:p>
      <w:pPr>
        <w:pStyle w:val="10"/>
        <w:autoSpaceDE w:val="0"/>
        <w:autoSpaceDN w:val="0"/>
        <w:adjustRightInd w:val="0"/>
        <w:spacing w:before="64" w:line="360" w:lineRule="auto"/>
        <w:ind w:right="-23"/>
        <w:jc w:val="left"/>
      </w:pPr>
      <w:r>
        <w:rPr>
          <w:rFonts w:hint="eastAsia"/>
        </w:rPr>
        <w:t>（</w:t>
      </w:r>
      <w:r>
        <w:t>2</w:t>
      </w:r>
      <w:r>
        <w:rPr>
          <w:rFonts w:hint="eastAsia"/>
        </w:rPr>
        <w:t>）投标总价扉页</w:t>
      </w:r>
    </w:p>
    <w:p>
      <w:pPr>
        <w:pStyle w:val="10"/>
        <w:autoSpaceDE w:val="0"/>
        <w:autoSpaceDN w:val="0"/>
        <w:adjustRightInd w:val="0"/>
        <w:spacing w:before="64" w:line="360" w:lineRule="auto"/>
        <w:ind w:right="-23"/>
        <w:jc w:val="left"/>
      </w:pPr>
      <w:r>
        <w:rPr>
          <w:rFonts w:hint="eastAsia"/>
        </w:rPr>
        <w:t>（</w:t>
      </w:r>
      <w:r>
        <w:t>3</w:t>
      </w:r>
      <w:r>
        <w:rPr>
          <w:rFonts w:hint="eastAsia"/>
        </w:rPr>
        <w:t>）工程计价总说明</w:t>
      </w:r>
    </w:p>
    <w:p>
      <w:pPr>
        <w:pStyle w:val="10"/>
        <w:autoSpaceDE w:val="0"/>
        <w:autoSpaceDN w:val="0"/>
        <w:adjustRightInd w:val="0"/>
        <w:spacing w:before="64" w:line="360" w:lineRule="auto"/>
        <w:ind w:right="-23"/>
        <w:jc w:val="left"/>
      </w:pPr>
      <w:r>
        <w:rPr>
          <w:rFonts w:hint="eastAsia"/>
        </w:rPr>
        <w:t>（</w:t>
      </w:r>
      <w:r>
        <w:t>4</w:t>
      </w:r>
      <w:r>
        <w:rPr>
          <w:rFonts w:hint="eastAsia"/>
        </w:rPr>
        <w:t>）建设项目投标报价汇总表</w:t>
      </w:r>
    </w:p>
    <w:p>
      <w:pPr>
        <w:pStyle w:val="10"/>
        <w:autoSpaceDE w:val="0"/>
        <w:autoSpaceDN w:val="0"/>
        <w:adjustRightInd w:val="0"/>
        <w:spacing w:before="64" w:line="360" w:lineRule="auto"/>
        <w:ind w:right="-23"/>
        <w:jc w:val="left"/>
      </w:pPr>
      <w:r>
        <w:rPr>
          <w:rFonts w:hint="eastAsia"/>
        </w:rPr>
        <w:t>（</w:t>
      </w:r>
      <w:r>
        <w:t>5</w:t>
      </w:r>
      <w:r>
        <w:rPr>
          <w:rFonts w:hint="eastAsia"/>
        </w:rPr>
        <w:t>）单项工程投标报价汇总表</w:t>
      </w:r>
    </w:p>
    <w:p>
      <w:pPr>
        <w:pStyle w:val="10"/>
        <w:autoSpaceDE w:val="0"/>
        <w:autoSpaceDN w:val="0"/>
        <w:adjustRightInd w:val="0"/>
        <w:spacing w:before="64" w:line="360" w:lineRule="auto"/>
        <w:ind w:right="-23"/>
        <w:jc w:val="left"/>
      </w:pPr>
      <w:r>
        <w:rPr>
          <w:rFonts w:hint="eastAsia"/>
        </w:rPr>
        <w:t>（</w:t>
      </w:r>
      <w:r>
        <w:t>6</w:t>
      </w:r>
      <w:r>
        <w:rPr>
          <w:rFonts w:hint="eastAsia"/>
        </w:rPr>
        <w:t>）单位工程投标报价汇总表</w:t>
      </w:r>
    </w:p>
    <w:p>
      <w:pPr>
        <w:pStyle w:val="10"/>
        <w:autoSpaceDE w:val="0"/>
        <w:autoSpaceDN w:val="0"/>
        <w:adjustRightInd w:val="0"/>
        <w:spacing w:before="64" w:line="360" w:lineRule="auto"/>
        <w:ind w:right="-23"/>
        <w:jc w:val="left"/>
      </w:pPr>
      <w:r>
        <w:rPr>
          <w:rFonts w:hint="eastAsia"/>
        </w:rPr>
        <w:t>（</w:t>
      </w:r>
      <w:r>
        <w:t>7</w:t>
      </w:r>
      <w:r>
        <w:rPr>
          <w:rFonts w:hint="eastAsia"/>
        </w:rPr>
        <w:t>）分部分项工程项目清单与措施项目清单计价表</w:t>
      </w:r>
    </w:p>
    <w:p>
      <w:pPr>
        <w:pStyle w:val="10"/>
        <w:autoSpaceDE w:val="0"/>
        <w:autoSpaceDN w:val="0"/>
        <w:adjustRightInd w:val="0"/>
        <w:spacing w:before="64" w:line="360" w:lineRule="auto"/>
        <w:ind w:right="-23"/>
        <w:jc w:val="left"/>
      </w:pPr>
      <w:r>
        <w:rPr>
          <w:rFonts w:hint="eastAsia"/>
        </w:rPr>
        <w:t>（</w:t>
      </w:r>
      <w:r>
        <w:t>8</w:t>
      </w:r>
      <w:r>
        <w:rPr>
          <w:rFonts w:hint="eastAsia"/>
        </w:rPr>
        <w:t>）综合单价分析表</w:t>
      </w:r>
    </w:p>
    <w:p>
      <w:pPr>
        <w:pStyle w:val="10"/>
        <w:autoSpaceDE w:val="0"/>
        <w:autoSpaceDN w:val="0"/>
        <w:adjustRightInd w:val="0"/>
        <w:spacing w:before="64" w:line="360" w:lineRule="auto"/>
        <w:ind w:right="-23"/>
        <w:jc w:val="left"/>
      </w:pPr>
      <w:r>
        <w:rPr>
          <w:rFonts w:hint="eastAsia"/>
        </w:rPr>
        <w:t>（</w:t>
      </w:r>
      <w:r>
        <w:t>9</w:t>
      </w:r>
      <w:r>
        <w:rPr>
          <w:rFonts w:hint="eastAsia"/>
        </w:rPr>
        <w:t>）总价措施项目清单计费表</w:t>
      </w:r>
    </w:p>
    <w:p>
      <w:pPr>
        <w:pStyle w:val="10"/>
        <w:autoSpaceDE w:val="0"/>
        <w:autoSpaceDN w:val="0"/>
        <w:adjustRightInd w:val="0"/>
        <w:spacing w:before="64" w:line="360" w:lineRule="auto"/>
        <w:ind w:right="-23"/>
        <w:jc w:val="left"/>
      </w:pPr>
      <w:r>
        <w:rPr>
          <w:rFonts w:hint="eastAsia"/>
        </w:rPr>
        <w:t>（</w:t>
      </w:r>
      <w:r>
        <w:t>10</w:t>
      </w:r>
      <w:r>
        <w:rPr>
          <w:rFonts w:hint="eastAsia"/>
        </w:rPr>
        <w:t>）绿色施工安全防护措施项目费计价表（招投标）</w:t>
      </w:r>
    </w:p>
    <w:p>
      <w:pPr>
        <w:pStyle w:val="10"/>
        <w:autoSpaceDE w:val="0"/>
        <w:autoSpaceDN w:val="0"/>
        <w:adjustRightInd w:val="0"/>
        <w:spacing w:before="64" w:line="360" w:lineRule="auto"/>
        <w:ind w:right="-23"/>
        <w:jc w:val="left"/>
      </w:pPr>
      <w:r>
        <w:rPr>
          <w:rFonts w:hint="eastAsia"/>
        </w:rPr>
        <w:t>（</w:t>
      </w:r>
      <w:r>
        <w:t>11</w:t>
      </w:r>
      <w:r>
        <w:rPr>
          <w:rFonts w:hint="eastAsia"/>
        </w:rPr>
        <w:t>）其他项目清单与计价汇总表</w:t>
      </w:r>
    </w:p>
    <w:p>
      <w:pPr>
        <w:pStyle w:val="10"/>
        <w:autoSpaceDE w:val="0"/>
        <w:autoSpaceDN w:val="0"/>
        <w:adjustRightInd w:val="0"/>
        <w:spacing w:before="64" w:line="360" w:lineRule="auto"/>
        <w:ind w:right="-23"/>
        <w:jc w:val="left"/>
      </w:pPr>
      <w:r>
        <w:rPr>
          <w:rFonts w:hint="eastAsia"/>
        </w:rPr>
        <w:t>（</w:t>
      </w:r>
      <w:r>
        <w:t>12</w:t>
      </w:r>
      <w:r>
        <w:rPr>
          <w:rFonts w:hint="eastAsia"/>
        </w:rPr>
        <w:t>）暂列金额明细表</w:t>
      </w:r>
    </w:p>
    <w:p>
      <w:pPr>
        <w:pStyle w:val="10"/>
        <w:autoSpaceDE w:val="0"/>
        <w:autoSpaceDN w:val="0"/>
        <w:adjustRightInd w:val="0"/>
        <w:spacing w:before="64" w:line="360" w:lineRule="auto"/>
        <w:ind w:right="-23"/>
        <w:jc w:val="left"/>
      </w:pPr>
      <w:r>
        <w:rPr>
          <w:rFonts w:hint="eastAsia"/>
        </w:rPr>
        <w:t>（</w:t>
      </w:r>
      <w:r>
        <w:t>13</w:t>
      </w:r>
      <w:r>
        <w:rPr>
          <w:rFonts w:hint="eastAsia"/>
        </w:rPr>
        <w:t>）材料暂估单价及调整表</w:t>
      </w:r>
    </w:p>
    <w:p>
      <w:pPr>
        <w:pStyle w:val="10"/>
        <w:autoSpaceDE w:val="0"/>
        <w:autoSpaceDN w:val="0"/>
        <w:adjustRightInd w:val="0"/>
        <w:spacing w:before="64" w:line="360" w:lineRule="auto"/>
        <w:ind w:right="-23"/>
        <w:jc w:val="left"/>
      </w:pPr>
      <w:r>
        <w:rPr>
          <w:rFonts w:hint="eastAsia"/>
        </w:rPr>
        <w:t>（</w:t>
      </w:r>
      <w:r>
        <w:t>14</w:t>
      </w:r>
      <w:r>
        <w:rPr>
          <w:rFonts w:hint="eastAsia"/>
        </w:rPr>
        <w:t>）专业工程</w:t>
      </w:r>
      <w:r>
        <w:t>/</w:t>
      </w:r>
      <w:r>
        <w:rPr>
          <w:rFonts w:hint="eastAsia"/>
        </w:rPr>
        <w:t>分部分项工程暂估价及结算价表</w:t>
      </w:r>
    </w:p>
    <w:p>
      <w:pPr>
        <w:pStyle w:val="10"/>
        <w:autoSpaceDE w:val="0"/>
        <w:autoSpaceDN w:val="0"/>
        <w:adjustRightInd w:val="0"/>
        <w:spacing w:before="64" w:line="360" w:lineRule="auto"/>
        <w:ind w:right="-23"/>
        <w:jc w:val="left"/>
      </w:pPr>
      <w:r>
        <w:rPr>
          <w:rFonts w:hint="eastAsia"/>
        </w:rPr>
        <w:t>（</w:t>
      </w:r>
      <w:r>
        <w:t>15</w:t>
      </w:r>
      <w:r>
        <w:rPr>
          <w:rFonts w:hint="eastAsia"/>
        </w:rPr>
        <w:t>）计日工表</w:t>
      </w:r>
    </w:p>
    <w:p>
      <w:pPr>
        <w:pStyle w:val="10"/>
        <w:autoSpaceDE w:val="0"/>
        <w:autoSpaceDN w:val="0"/>
        <w:adjustRightInd w:val="0"/>
        <w:spacing w:before="64" w:line="360" w:lineRule="auto"/>
        <w:ind w:right="-23"/>
        <w:jc w:val="left"/>
      </w:pPr>
      <w:r>
        <w:rPr>
          <w:rFonts w:hint="eastAsia"/>
        </w:rPr>
        <w:t>（</w:t>
      </w:r>
      <w:r>
        <w:t>16</w:t>
      </w:r>
      <w:r>
        <w:rPr>
          <w:rFonts w:hint="eastAsia"/>
        </w:rPr>
        <w:t>）总承包服务费计价表</w:t>
      </w:r>
    </w:p>
    <w:p>
      <w:pPr>
        <w:pStyle w:val="10"/>
        <w:autoSpaceDE w:val="0"/>
        <w:autoSpaceDN w:val="0"/>
        <w:adjustRightInd w:val="0"/>
        <w:spacing w:before="64" w:line="360" w:lineRule="auto"/>
        <w:ind w:right="-23"/>
        <w:jc w:val="left"/>
      </w:pPr>
      <w:r>
        <w:rPr>
          <w:rFonts w:hint="eastAsia"/>
        </w:rPr>
        <w:t>（</w:t>
      </w:r>
      <w:r>
        <w:t>17</w:t>
      </w:r>
      <w:r>
        <w:rPr>
          <w:rFonts w:hint="eastAsia"/>
        </w:rPr>
        <w:t>）部分其他项目费计价表</w:t>
      </w:r>
    </w:p>
    <w:p>
      <w:pPr>
        <w:pStyle w:val="10"/>
        <w:autoSpaceDE w:val="0"/>
        <w:autoSpaceDN w:val="0"/>
        <w:adjustRightInd w:val="0"/>
        <w:spacing w:before="64" w:line="360" w:lineRule="auto"/>
        <w:ind w:right="-23"/>
        <w:jc w:val="left"/>
      </w:pPr>
      <w:r>
        <w:rPr>
          <w:rFonts w:hint="eastAsia"/>
        </w:rPr>
        <w:t>（</w:t>
      </w:r>
      <w:r>
        <w:t>18</w:t>
      </w:r>
      <w:r>
        <w:rPr>
          <w:rFonts w:hint="eastAsia"/>
        </w:rPr>
        <w:t>）发包人提供材料一览表</w:t>
      </w:r>
    </w:p>
    <w:p>
      <w:pPr>
        <w:pStyle w:val="10"/>
        <w:autoSpaceDE w:val="0"/>
        <w:autoSpaceDN w:val="0"/>
        <w:adjustRightInd w:val="0"/>
        <w:spacing w:before="64" w:line="360" w:lineRule="auto"/>
        <w:ind w:right="-23"/>
        <w:jc w:val="left"/>
      </w:pPr>
      <w:r>
        <w:rPr>
          <w:rFonts w:hint="eastAsia"/>
        </w:rPr>
        <w:t>（</w:t>
      </w:r>
      <w:r>
        <w:t>19</w:t>
      </w:r>
      <w:r>
        <w:rPr>
          <w:rFonts w:hint="eastAsia"/>
        </w:rPr>
        <w:t>）人工、材料、机械汇总表</w:t>
      </w:r>
    </w:p>
    <w:p>
      <w:pPr>
        <w:pStyle w:val="10"/>
        <w:autoSpaceDE w:val="0"/>
        <w:autoSpaceDN w:val="0"/>
        <w:adjustRightInd w:val="0"/>
        <w:spacing w:before="64" w:line="360" w:lineRule="auto"/>
        <w:ind w:right="-23"/>
        <w:jc w:val="left"/>
      </w:pPr>
      <w:r>
        <w:rPr>
          <w:rFonts w:hint="eastAsia"/>
        </w:rPr>
        <w:t>（20）重点评审的工程量清单综合单价（含单价措施项目）表</w:t>
      </w:r>
    </w:p>
    <w:p>
      <w:pPr>
        <w:pStyle w:val="10"/>
        <w:autoSpaceDE w:val="0"/>
        <w:autoSpaceDN w:val="0"/>
        <w:adjustRightInd w:val="0"/>
        <w:spacing w:before="64" w:line="360" w:lineRule="auto"/>
        <w:ind w:right="-23"/>
        <w:jc w:val="left"/>
      </w:pPr>
      <w:r>
        <w:rPr>
          <w:rFonts w:hint="eastAsia"/>
        </w:rPr>
        <w:t>（</w:t>
      </w:r>
      <w:r>
        <w:t>2</w:t>
      </w:r>
      <w:r>
        <w:rPr>
          <w:rFonts w:hint="eastAsia"/>
        </w:rPr>
        <w:t>1）重点评审的材料单价表</w:t>
      </w:r>
    </w:p>
    <w:p>
      <w:pPr>
        <w:pStyle w:val="10"/>
        <w:autoSpaceDE w:val="0"/>
        <w:autoSpaceDN w:val="0"/>
        <w:adjustRightInd w:val="0"/>
        <w:spacing w:before="64" w:line="360" w:lineRule="auto"/>
        <w:ind w:right="-23"/>
        <w:jc w:val="left"/>
      </w:pPr>
      <w:r>
        <w:rPr>
          <w:rFonts w:hint="eastAsia"/>
        </w:rPr>
        <w:t>说明：以上表格如为空白表格，可不提供。</w:t>
      </w:r>
    </w:p>
    <w:p>
      <w:pPr>
        <w:autoSpaceDE w:val="0"/>
        <w:autoSpaceDN w:val="0"/>
        <w:adjustRightInd w:val="0"/>
        <w:spacing w:before="64" w:line="360" w:lineRule="auto"/>
        <w:ind w:right="-23"/>
        <w:jc w:val="left"/>
      </w:pPr>
    </w:p>
    <w:p>
      <w:pPr>
        <w:autoSpaceDE w:val="0"/>
        <w:autoSpaceDN w:val="0"/>
        <w:adjustRightInd w:val="0"/>
        <w:spacing w:before="64" w:line="360" w:lineRule="auto"/>
        <w:ind w:right="-23"/>
        <w:jc w:val="left"/>
      </w:pPr>
    </w:p>
    <w:p>
      <w:pPr>
        <w:widowControl/>
        <w:jc w:val="left"/>
      </w:pPr>
      <w:r>
        <w:br w:type="page"/>
      </w:r>
    </w:p>
    <w:p>
      <w:pPr>
        <w:pStyle w:val="5"/>
        <w:keepNext/>
        <w:keepLines/>
        <w:widowControl w:val="0"/>
        <w:jc w:val="left"/>
        <w:rPr>
          <w:rFonts w:eastAsia="黑体"/>
          <w:b w:val="0"/>
          <w:sz w:val="28"/>
          <w:szCs w:val="28"/>
        </w:rPr>
      </w:pPr>
      <w:bookmarkStart w:id="11" w:name="_Toc80006278"/>
      <w:bookmarkStart w:id="12" w:name="_Toc80006168"/>
      <w:bookmarkStart w:id="13" w:name="_GoBack"/>
      <w:bookmarkEnd w:id="13"/>
      <w:r>
        <w:rPr>
          <w:rFonts w:hint="eastAsia" w:eastAsia="黑体"/>
          <w:b w:val="0"/>
          <w:sz w:val="28"/>
          <w:szCs w:val="28"/>
        </w:rPr>
        <w:t>2.</w:t>
      </w:r>
      <w:r>
        <w:rPr>
          <w:rFonts w:eastAsia="黑体"/>
          <w:b w:val="0"/>
          <w:sz w:val="28"/>
          <w:szCs w:val="28"/>
        </w:rPr>
        <w:t>已标价工程量清单格式</w:t>
      </w:r>
      <w:bookmarkEnd w:id="11"/>
      <w:bookmarkEnd w:id="12"/>
    </w:p>
    <w:p>
      <w:pPr>
        <w:spacing w:line="360" w:lineRule="auto"/>
        <w:ind w:firstLine="480" w:firstLineChars="200"/>
        <w:rPr>
          <w:rFonts w:eastAsia="黑体"/>
          <w:sz w:val="24"/>
        </w:rPr>
      </w:pPr>
    </w:p>
    <w:p>
      <w:pPr>
        <w:spacing w:line="360" w:lineRule="auto"/>
        <w:ind w:firstLine="480" w:firstLineChars="200"/>
        <w:rPr>
          <w:sz w:val="24"/>
        </w:rPr>
      </w:pPr>
      <w:r>
        <w:rPr>
          <w:rFonts w:hint="eastAsia" w:eastAsia="黑体"/>
          <w:sz w:val="24"/>
        </w:rPr>
        <w:t>说明：</w:t>
      </w:r>
      <w:r>
        <w:rPr>
          <w:rFonts w:hint="eastAsia" w:ascii="宋体" w:hAnsi="宋体"/>
          <w:szCs w:val="21"/>
        </w:rPr>
        <w:t>已标价工程量清单按照</w:t>
      </w:r>
      <w:r>
        <w:t>《</w:t>
      </w:r>
      <w:r>
        <w:rPr>
          <w:rFonts w:hint="eastAsia"/>
        </w:rPr>
        <w:t>湖南省住房和城乡建设厅关于印发&lt;湖南省建设工程计价办法</w:t>
      </w:r>
      <w:r>
        <w:t>&gt;</w:t>
      </w:r>
      <w:r>
        <w:rPr>
          <w:rFonts w:hint="eastAsia"/>
        </w:rPr>
        <w:t>及&lt;湖南省建设工程消耗量标准</w:t>
      </w:r>
      <w:r>
        <w:t>&gt;</w:t>
      </w:r>
      <w:r>
        <w:rPr>
          <w:rFonts w:hint="eastAsia"/>
        </w:rPr>
        <w:t>的通知</w:t>
      </w:r>
      <w:r>
        <w:t>》（</w:t>
      </w:r>
      <w:r>
        <w:rPr>
          <w:rFonts w:hint="eastAsia"/>
        </w:rPr>
        <w:t xml:space="preserve"> 湘建价【2020】56号</w:t>
      </w:r>
      <w:r>
        <w:t>）等文件规定的格式</w:t>
      </w:r>
      <w:r>
        <w:rPr>
          <w:rFonts w:hint="eastAsia"/>
        </w:rPr>
        <w:t>填写。由计价软件打印的已标价工程量清单与上述文件格式不一致的，以计价软件打印的表格为准。投标人采用的计价软件应当通过了湖南建设工程造价管理总站的测评。</w:t>
      </w:r>
    </w:p>
    <w:p>
      <w:pPr>
        <w:widowControl/>
      </w:pPr>
    </w:p>
    <w:p>
      <w:pPr>
        <w:widowControl/>
      </w:pPr>
    </w:p>
    <w:p>
      <w:pPr>
        <w:widowControl/>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1ZDQxYTRkNGZkZjE2MWU5MWNkM2E5YmY0OGY3NDQifQ=="/>
  </w:docVars>
  <w:rsids>
    <w:rsidRoot w:val="14557A1D"/>
    <w:rsid w:val="14557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spacing w:before="240" w:after="60"/>
      <w:outlineLvl w:val="0"/>
    </w:pPr>
    <w:rPr>
      <w:rFonts w:ascii="Cambria" w:hAnsi="Cambria"/>
      <w:b/>
      <w:bCs/>
      <w:kern w:val="32"/>
      <w:sz w:val="32"/>
      <w:szCs w:val="32"/>
    </w:rPr>
  </w:style>
  <w:style w:type="paragraph" w:styleId="4">
    <w:name w:val="heading 2"/>
    <w:basedOn w:val="1"/>
    <w:next w:val="1"/>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qFormat/>
    <w:uiPriority w:val="0"/>
    <w:pPr>
      <w:widowControl/>
      <w:spacing w:line="360" w:lineRule="auto"/>
      <w:outlineLvl w:val="2"/>
    </w:pPr>
    <w:rPr>
      <w:b/>
      <w:bCs/>
      <w:kern w:val="0"/>
      <w:sz w:val="24"/>
    </w:rPr>
  </w:style>
  <w:style w:type="character" w:default="1" w:styleId="8">
    <w:name w:val="Default Paragraph Font"/>
    <w:semiHidden/>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style>
  <w:style w:type="paragraph" w:styleId="6">
    <w:name w:val="toc 4"/>
    <w:basedOn w:val="1"/>
    <w:next w:val="1"/>
    <w:qFormat/>
    <w:uiPriority w:val="39"/>
    <w:pPr>
      <w:ind w:left="1260" w:leftChars="600"/>
    </w:pPr>
  </w:style>
  <w:style w:type="character" w:styleId="9">
    <w:name w:val="Hyperlink"/>
    <w:qFormat/>
    <w:uiPriority w:val="99"/>
    <w:rPr>
      <w:color w:val="0000FF"/>
      <w:u w:val="single"/>
    </w:rPr>
  </w:style>
  <w:style w:type="paragraph" w:customStyle="1" w:styleId="10">
    <w:name w:val="正文_16"/>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7</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2024-05-06T06:59:00Z</dcterms:created>
  <dc:creator>Administrator</dc:creator>
  <cp:lastModifiedBy>Administrator</cp:lastModifiedBy>
  <dcterms:modified xsi:type="dcterms:W3CDTF">2024-05-06T08:23:57Z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26E621EF726243B1B8264736106540DA_11</vt:lpwstr>
  </property>
</Properties>
</file>