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BE295">
      <w:pPr>
        <w:spacing w:line="360" w:lineRule="auto"/>
        <w:jc w:val="center"/>
        <w:rPr>
          <w:rFonts w:hint="eastAsia" w:ascii="宋体" w:hAnsi="宋体" w:eastAsia="宋体" w:cs="宋体"/>
          <w:color w:val="auto"/>
          <w:sz w:val="52"/>
          <w:szCs w:val="52"/>
          <w:highlight w:val="none"/>
          <w:lang w:val="en-US" w:eastAsia="zh-CN"/>
        </w:rPr>
      </w:pPr>
      <w:bookmarkStart w:id="0" w:name="_Toc300678060"/>
    </w:p>
    <w:p w14:paraId="69E41F40">
      <w:pPr>
        <w:spacing w:line="360" w:lineRule="auto"/>
        <w:jc w:val="center"/>
        <w:rPr>
          <w:rFonts w:hint="eastAsia" w:ascii="宋体" w:hAnsi="宋体" w:eastAsia="宋体" w:cs="宋体"/>
          <w:color w:val="auto"/>
          <w:sz w:val="40"/>
          <w:szCs w:val="40"/>
          <w:highlight w:val="none"/>
        </w:rPr>
      </w:pPr>
      <w:r>
        <w:rPr>
          <w:rFonts w:hint="eastAsia" w:ascii="宋体" w:hAnsi="宋体" w:cs="宋体"/>
          <w:b/>
          <w:bCs/>
          <w:color w:val="auto"/>
          <w:sz w:val="40"/>
          <w:szCs w:val="40"/>
          <w:highlight w:val="none"/>
          <w:lang w:val="en-US" w:eastAsia="zh-CN"/>
        </w:rPr>
        <w:t>沱涔大道帮扶车间产业园建设项目</w:t>
      </w:r>
      <w:r>
        <w:rPr>
          <w:rFonts w:hint="eastAsia" w:ascii="宋体" w:hAnsi="宋体" w:eastAsia="宋体" w:cs="宋体"/>
          <w:b/>
          <w:bCs/>
          <w:color w:val="auto"/>
          <w:sz w:val="40"/>
          <w:szCs w:val="40"/>
          <w:highlight w:val="none"/>
        </w:rPr>
        <w:t>施工招标</w:t>
      </w:r>
    </w:p>
    <w:p w14:paraId="73993DD5">
      <w:pPr>
        <w:ind w:firstLine="435"/>
        <w:rPr>
          <w:rFonts w:hint="eastAsia" w:ascii="宋体" w:hAnsi="宋体" w:eastAsia="宋体" w:cs="宋体"/>
          <w:color w:val="auto"/>
          <w:szCs w:val="21"/>
          <w:highlight w:val="none"/>
        </w:rPr>
      </w:pPr>
    </w:p>
    <w:p w14:paraId="66CB02FD">
      <w:pPr>
        <w:ind w:firstLine="435"/>
        <w:rPr>
          <w:rFonts w:hint="eastAsia" w:ascii="宋体" w:hAnsi="宋体" w:eastAsia="宋体" w:cs="宋体"/>
          <w:color w:val="auto"/>
          <w:szCs w:val="21"/>
          <w:highlight w:val="none"/>
        </w:rPr>
      </w:pPr>
    </w:p>
    <w:p w14:paraId="20BECE61">
      <w:pPr>
        <w:ind w:firstLine="435"/>
        <w:rPr>
          <w:rFonts w:hint="eastAsia" w:ascii="宋体" w:hAnsi="宋体" w:eastAsia="宋体" w:cs="宋体"/>
          <w:color w:val="auto"/>
          <w:szCs w:val="21"/>
          <w:highlight w:val="none"/>
        </w:rPr>
      </w:pPr>
    </w:p>
    <w:p w14:paraId="1682B911">
      <w:pPr>
        <w:pStyle w:val="2"/>
        <w:rPr>
          <w:rFonts w:hint="eastAsia" w:ascii="宋体" w:hAnsi="宋体" w:eastAsia="宋体" w:cs="宋体"/>
          <w:color w:val="auto"/>
          <w:szCs w:val="21"/>
          <w:highlight w:val="none"/>
        </w:rPr>
      </w:pPr>
    </w:p>
    <w:p w14:paraId="2157C07F">
      <w:pPr>
        <w:pStyle w:val="3"/>
        <w:rPr>
          <w:rFonts w:hint="eastAsia"/>
          <w:color w:val="auto"/>
        </w:rPr>
      </w:pPr>
    </w:p>
    <w:p w14:paraId="04C1EA0B">
      <w:pPr>
        <w:ind w:firstLine="435"/>
        <w:rPr>
          <w:rFonts w:hint="eastAsia" w:ascii="宋体" w:hAnsi="宋体" w:eastAsia="宋体" w:cs="宋体"/>
          <w:color w:val="auto"/>
          <w:szCs w:val="21"/>
          <w:highlight w:val="none"/>
        </w:rPr>
      </w:pPr>
    </w:p>
    <w:p w14:paraId="31A18FFD">
      <w:pPr>
        <w:ind w:firstLine="435"/>
        <w:rPr>
          <w:rFonts w:hint="eastAsia" w:ascii="宋体" w:hAnsi="宋体" w:eastAsia="宋体" w:cs="宋体"/>
          <w:color w:val="auto"/>
          <w:szCs w:val="21"/>
          <w:highlight w:val="none"/>
        </w:rPr>
      </w:pPr>
    </w:p>
    <w:p w14:paraId="3C2AEEF2">
      <w:pPr>
        <w:ind w:firstLine="435"/>
        <w:rPr>
          <w:rFonts w:hint="eastAsia" w:ascii="宋体" w:hAnsi="宋体" w:eastAsia="宋体" w:cs="宋体"/>
          <w:color w:val="auto"/>
          <w:szCs w:val="21"/>
          <w:highlight w:val="none"/>
        </w:rPr>
      </w:pPr>
    </w:p>
    <w:p w14:paraId="588AE47E">
      <w:pPr>
        <w:jc w:val="center"/>
        <w:rPr>
          <w:rFonts w:hint="eastAsia" w:ascii="宋体" w:hAnsi="宋体" w:eastAsia="宋体" w:cs="宋体"/>
          <w:color w:val="auto"/>
          <w:sz w:val="96"/>
          <w:szCs w:val="96"/>
          <w:highlight w:val="none"/>
        </w:rPr>
      </w:pPr>
      <w:r>
        <w:rPr>
          <w:rFonts w:hint="eastAsia" w:ascii="宋体" w:hAnsi="宋体" w:eastAsia="宋体" w:cs="宋体"/>
          <w:color w:val="auto"/>
          <w:sz w:val="96"/>
          <w:szCs w:val="96"/>
          <w:highlight w:val="none"/>
        </w:rPr>
        <w:t>招标文件</w:t>
      </w:r>
    </w:p>
    <w:p w14:paraId="2C924701">
      <w:pPr>
        <w:ind w:firstLine="435"/>
        <w:rPr>
          <w:rFonts w:hint="eastAsia" w:ascii="宋体" w:hAnsi="宋体" w:eastAsia="宋体" w:cs="宋体"/>
          <w:color w:val="auto"/>
          <w:highlight w:val="none"/>
        </w:rPr>
      </w:pPr>
    </w:p>
    <w:p w14:paraId="7D1A0230">
      <w:pPr>
        <w:ind w:firstLine="435"/>
        <w:rPr>
          <w:rFonts w:hint="eastAsia" w:ascii="宋体" w:hAnsi="宋体" w:eastAsia="宋体" w:cs="宋体"/>
          <w:color w:val="auto"/>
          <w:highlight w:val="none"/>
        </w:rPr>
      </w:pPr>
    </w:p>
    <w:p w14:paraId="4A28D2CA">
      <w:pPr>
        <w:ind w:firstLine="435"/>
        <w:rPr>
          <w:rFonts w:hint="eastAsia" w:ascii="宋体" w:hAnsi="宋体" w:eastAsia="宋体" w:cs="宋体"/>
          <w:color w:val="auto"/>
          <w:highlight w:val="none"/>
        </w:rPr>
      </w:pPr>
    </w:p>
    <w:p w14:paraId="7EC0D1D0">
      <w:pPr>
        <w:ind w:firstLine="435"/>
        <w:rPr>
          <w:rFonts w:hint="eastAsia" w:ascii="宋体" w:hAnsi="宋体" w:eastAsia="宋体" w:cs="宋体"/>
          <w:color w:val="auto"/>
          <w:highlight w:val="none"/>
        </w:rPr>
      </w:pPr>
    </w:p>
    <w:p w14:paraId="16DA1349">
      <w:pPr>
        <w:ind w:firstLine="435"/>
        <w:rPr>
          <w:rFonts w:hint="eastAsia" w:ascii="宋体" w:hAnsi="宋体" w:eastAsia="宋体" w:cs="宋体"/>
          <w:color w:val="auto"/>
          <w:highlight w:val="none"/>
        </w:rPr>
      </w:pPr>
      <w:r>
        <w:rPr>
          <w:rFonts w:hint="eastAsia" w:ascii="宋体" w:hAnsi="宋体" w:cs="宋体"/>
          <w:b/>
          <w:bCs/>
          <w:color w:val="auto"/>
          <w:sz w:val="36"/>
          <w:szCs w:val="36"/>
          <w:highlight w:val="none"/>
          <w:u w:val="none"/>
          <w:lang w:val="en-US" w:eastAsia="zh-CN"/>
        </w:rPr>
        <w:t xml:space="preserve"> </w:t>
      </w:r>
    </w:p>
    <w:p w14:paraId="25A79DE8">
      <w:pPr>
        <w:ind w:firstLine="435"/>
        <w:rPr>
          <w:rFonts w:hint="eastAsia" w:ascii="宋体" w:hAnsi="宋体" w:eastAsia="宋体" w:cs="宋体"/>
          <w:color w:val="auto"/>
          <w:highlight w:val="none"/>
        </w:rPr>
      </w:pPr>
    </w:p>
    <w:p w14:paraId="34D9274F">
      <w:pPr>
        <w:ind w:firstLine="435"/>
        <w:rPr>
          <w:rFonts w:hint="eastAsia" w:ascii="宋体" w:hAnsi="宋体" w:eastAsia="宋体" w:cs="宋体"/>
          <w:color w:val="auto"/>
          <w:highlight w:val="none"/>
        </w:rPr>
      </w:pPr>
    </w:p>
    <w:p w14:paraId="12A8A437">
      <w:pPr>
        <w:ind w:firstLine="435"/>
        <w:rPr>
          <w:rFonts w:hint="eastAsia" w:ascii="宋体" w:hAnsi="宋体" w:eastAsia="宋体" w:cs="宋体"/>
          <w:color w:val="auto"/>
          <w:highlight w:val="none"/>
        </w:rPr>
      </w:pPr>
    </w:p>
    <w:p w14:paraId="62D8BCDF">
      <w:pPr>
        <w:ind w:firstLine="435"/>
        <w:rPr>
          <w:rFonts w:hint="eastAsia" w:ascii="宋体" w:hAnsi="宋体" w:eastAsia="宋体" w:cs="宋体"/>
          <w:color w:val="auto"/>
          <w:highlight w:val="none"/>
        </w:rPr>
      </w:pPr>
    </w:p>
    <w:p w14:paraId="12AB051A">
      <w:pPr>
        <w:ind w:firstLine="435"/>
        <w:rPr>
          <w:rFonts w:hint="eastAsia" w:ascii="宋体" w:hAnsi="宋体" w:eastAsia="宋体" w:cs="宋体"/>
          <w:color w:val="auto"/>
          <w:highlight w:val="none"/>
        </w:rPr>
      </w:pPr>
    </w:p>
    <w:p w14:paraId="4FE36D64">
      <w:pPr>
        <w:ind w:firstLine="435"/>
        <w:rPr>
          <w:rFonts w:hint="eastAsia" w:ascii="宋体" w:hAnsi="宋体" w:eastAsia="宋体" w:cs="宋体"/>
          <w:color w:val="auto"/>
          <w:highlight w:val="none"/>
        </w:rPr>
      </w:pPr>
    </w:p>
    <w:p w14:paraId="358F70EC">
      <w:pPr>
        <w:ind w:firstLine="435"/>
        <w:rPr>
          <w:rFonts w:hint="eastAsia" w:ascii="宋体" w:hAnsi="宋体" w:eastAsia="宋体" w:cs="宋体"/>
          <w:color w:val="auto"/>
          <w:highlight w:val="none"/>
        </w:rPr>
      </w:pPr>
    </w:p>
    <w:p w14:paraId="21B0F359">
      <w:pP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 xml:space="preserve">    </w:t>
      </w:r>
    </w:p>
    <w:p w14:paraId="79A6E7C8">
      <w:pPr>
        <w:ind w:firstLine="435"/>
        <w:rPr>
          <w:rFonts w:hint="eastAsia" w:ascii="宋体" w:hAnsi="宋体" w:eastAsia="宋体" w:cs="宋体"/>
          <w:color w:val="auto"/>
          <w:highlight w:val="none"/>
        </w:rPr>
      </w:pPr>
    </w:p>
    <w:p w14:paraId="073B3A48">
      <w:pPr>
        <w:widowControl w:val="0"/>
        <w:kinsoku/>
        <w:autoSpaceDE/>
        <w:autoSpaceDN/>
        <w:adjustRightInd/>
        <w:snapToGrid/>
        <w:spacing w:before="0" w:line="480" w:lineRule="auto"/>
        <w:ind w:left="0"/>
        <w:jc w:val="center"/>
        <w:textAlignment w:val="auto"/>
        <w:outlineLvl w:val="0"/>
        <w:rPr>
          <w:rFonts w:hint="eastAsia" w:ascii="宋体" w:hAnsi="宋体" w:eastAsia="宋体" w:cs="宋体"/>
          <w:b/>
          <w:bCs/>
          <w:snapToGrid/>
          <w:color w:val="auto"/>
          <w:spacing w:val="0"/>
          <w:kern w:val="2"/>
          <w:sz w:val="32"/>
          <w:szCs w:val="32"/>
          <w:highlight w:val="none"/>
          <w:u w:val="none"/>
          <w:lang w:val="en-US" w:eastAsia="zh-CN"/>
        </w:rPr>
      </w:pPr>
      <w:bookmarkStart w:id="1" w:name="_Toc5478"/>
      <w:bookmarkStart w:id="2" w:name="_Toc24450"/>
      <w:bookmarkStart w:id="3" w:name="_Toc26817"/>
      <w:bookmarkStart w:id="4" w:name="_Toc28628"/>
      <w:bookmarkStart w:id="5" w:name="_Toc5119"/>
      <w:r>
        <w:rPr>
          <w:rFonts w:hint="eastAsia" w:ascii="宋体" w:hAnsi="宋体" w:eastAsia="宋体" w:cs="宋体"/>
          <w:b/>
          <w:bCs/>
          <w:snapToGrid/>
          <w:color w:val="auto"/>
          <w:spacing w:val="0"/>
          <w:kern w:val="2"/>
          <w:sz w:val="32"/>
          <w:szCs w:val="32"/>
          <w:highlight w:val="none"/>
          <w:u w:val="none"/>
          <w:lang w:eastAsia="zh-CN"/>
        </w:rPr>
        <w:t>招标人：</w:t>
      </w:r>
      <w:r>
        <w:rPr>
          <w:rFonts w:hint="eastAsia" w:ascii="宋体" w:hAnsi="宋体" w:cs="宋体"/>
          <w:b/>
          <w:bCs/>
          <w:snapToGrid/>
          <w:color w:val="auto"/>
          <w:spacing w:val="0"/>
          <w:kern w:val="2"/>
          <w:sz w:val="32"/>
          <w:szCs w:val="32"/>
          <w:highlight w:val="none"/>
          <w:u w:val="none"/>
          <w:lang w:val="en-US" w:eastAsia="zh-CN"/>
        </w:rPr>
        <w:t>江华瑶族自治县沱江镇人民政府</w:t>
      </w:r>
      <w:r>
        <w:rPr>
          <w:rFonts w:hint="eastAsia" w:ascii="宋体" w:hAnsi="宋体" w:eastAsia="宋体" w:cs="宋体"/>
          <w:b/>
          <w:bCs/>
          <w:snapToGrid/>
          <w:color w:val="auto"/>
          <w:spacing w:val="0"/>
          <w:kern w:val="2"/>
          <w:sz w:val="32"/>
          <w:szCs w:val="32"/>
          <w:highlight w:val="none"/>
          <w:u w:val="none"/>
          <w:lang w:val="en-US" w:eastAsia="zh-CN"/>
        </w:rPr>
        <w:t>（</w:t>
      </w:r>
      <w:r>
        <w:rPr>
          <w:rFonts w:hint="eastAsia" w:ascii="宋体" w:hAnsi="宋体" w:eastAsia="宋体" w:cs="宋体"/>
          <w:b/>
          <w:bCs/>
          <w:color w:val="auto"/>
          <w:sz w:val="32"/>
          <w:szCs w:val="32"/>
          <w:highlight w:val="none"/>
          <w:u w:val="none"/>
          <w:lang w:val="en-US" w:eastAsia="zh-CN"/>
        </w:rPr>
        <w:t>盖单位章）</w:t>
      </w:r>
      <w:bookmarkEnd w:id="1"/>
      <w:bookmarkEnd w:id="2"/>
      <w:bookmarkEnd w:id="3"/>
      <w:bookmarkEnd w:id="4"/>
      <w:bookmarkEnd w:id="5"/>
    </w:p>
    <w:p w14:paraId="0F606889">
      <w:pPr>
        <w:pStyle w:val="38"/>
        <w:keepNext w:val="0"/>
        <w:keepLines w:val="0"/>
        <w:pageBreakBefore w:val="0"/>
        <w:widowControl/>
        <w:suppressLineNumbers w:val="0"/>
        <w:kinsoku/>
        <w:wordWrap/>
        <w:overflowPunct/>
        <w:topLinePunct w:val="0"/>
        <w:autoSpaceDE/>
        <w:autoSpaceDN/>
        <w:bidi w:val="0"/>
        <w:spacing w:after="105" w:afterAutospacing="0" w:line="360" w:lineRule="auto"/>
        <w:ind w:left="0" w:firstLine="420"/>
        <w:textAlignment w:val="auto"/>
        <w:rPr>
          <w:rFonts w:hint="eastAsia" w:ascii="宋体" w:hAnsi="宋体" w:eastAsia="宋体" w:cs="宋体"/>
          <w:color w:val="auto"/>
          <w:sz w:val="24"/>
          <w:szCs w:val="24"/>
          <w:highlight w:val="none"/>
        </w:rPr>
      </w:pPr>
      <w:bookmarkStart w:id="6" w:name="_Toc31973"/>
      <w:bookmarkStart w:id="7" w:name="_Toc10448"/>
      <w:r>
        <w:rPr>
          <w:rFonts w:hint="eastAsia" w:ascii="宋体" w:hAnsi="宋体" w:eastAsia="宋体" w:cs="宋体"/>
          <w:b/>
          <w:bCs/>
          <w:snapToGrid/>
          <w:color w:val="auto"/>
          <w:spacing w:val="0"/>
          <w:kern w:val="2"/>
          <w:sz w:val="32"/>
          <w:szCs w:val="32"/>
          <w:highlight w:val="none"/>
          <w:u w:val="none"/>
          <w:lang w:eastAsia="zh-CN"/>
        </w:rPr>
        <w:t>招标代理机构：</w:t>
      </w:r>
      <w:bookmarkEnd w:id="6"/>
      <w:bookmarkEnd w:id="7"/>
      <w:bookmarkStart w:id="8" w:name="_Toc4911"/>
      <w:bookmarkStart w:id="9" w:name="_Toc16809"/>
      <w:r>
        <w:rPr>
          <w:rFonts w:hint="eastAsia" w:ascii="宋体" w:hAnsi="宋体" w:cs="宋体"/>
          <w:b/>
          <w:bCs/>
          <w:snapToGrid/>
          <w:color w:val="auto"/>
          <w:spacing w:val="0"/>
          <w:kern w:val="2"/>
          <w:sz w:val="32"/>
          <w:szCs w:val="32"/>
          <w:highlight w:val="none"/>
          <w:u w:val="none"/>
          <w:lang w:val="en-US" w:eastAsia="zh-CN" w:bidi="ar-SA"/>
        </w:rPr>
        <w:t>湖南紫霖项目管理有限责任公司</w:t>
      </w:r>
      <w:r>
        <w:rPr>
          <w:rFonts w:hint="eastAsia" w:ascii="宋体" w:hAnsi="宋体" w:eastAsia="宋体" w:cs="宋体"/>
          <w:b/>
          <w:bCs/>
          <w:color w:val="auto"/>
          <w:sz w:val="32"/>
          <w:szCs w:val="32"/>
          <w:highlight w:val="none"/>
          <w:u w:val="none"/>
          <w:lang w:val="en-US" w:eastAsia="zh-CN"/>
        </w:rPr>
        <w:t>（盖单位章）</w:t>
      </w:r>
      <w:bookmarkEnd w:id="8"/>
      <w:bookmarkEnd w:id="9"/>
    </w:p>
    <w:p w14:paraId="6D25FEDC">
      <w:pPr>
        <w:widowControl w:val="0"/>
        <w:kinsoku/>
        <w:autoSpaceDE/>
        <w:autoSpaceDN/>
        <w:adjustRightInd/>
        <w:snapToGrid/>
        <w:spacing w:before="0" w:line="480" w:lineRule="auto"/>
        <w:ind w:left="0"/>
        <w:jc w:val="center"/>
        <w:textAlignment w:val="auto"/>
        <w:outlineLvl w:val="0"/>
        <w:rPr>
          <w:rFonts w:hint="eastAsia" w:ascii="宋体" w:hAnsi="宋体" w:eastAsia="宋体" w:cs="宋体"/>
          <w:b/>
          <w:bCs/>
          <w:color w:val="auto"/>
          <w:sz w:val="32"/>
          <w:szCs w:val="32"/>
          <w:highlight w:val="none"/>
          <w:u w:val="none"/>
          <w:lang w:val="en-US" w:eastAsia="zh-CN"/>
        </w:rPr>
      </w:pPr>
      <w:bookmarkStart w:id="10" w:name="_Toc3981"/>
      <w:bookmarkStart w:id="11" w:name="_Toc17141"/>
      <w:bookmarkStart w:id="12" w:name="_Toc8473"/>
      <w:r>
        <w:rPr>
          <w:rFonts w:hint="eastAsia" w:ascii="宋体" w:hAnsi="宋体" w:eastAsia="宋体" w:cs="宋体"/>
          <w:b/>
          <w:bCs/>
          <w:color w:val="auto"/>
          <w:sz w:val="32"/>
          <w:szCs w:val="32"/>
          <w:highlight w:val="none"/>
          <w:u w:val="none"/>
          <w:lang w:val="en-US" w:eastAsia="zh-CN"/>
        </w:rPr>
        <w:t>日    期：202</w:t>
      </w:r>
      <w:r>
        <w:rPr>
          <w:rFonts w:hint="eastAsia" w:ascii="宋体" w:hAnsi="宋体" w:cs="宋体"/>
          <w:b/>
          <w:bCs/>
          <w:color w:val="auto"/>
          <w:sz w:val="32"/>
          <w:szCs w:val="32"/>
          <w:highlight w:val="none"/>
          <w:u w:val="none"/>
          <w:lang w:val="en-US" w:eastAsia="zh-CN"/>
        </w:rPr>
        <w:t>5</w:t>
      </w:r>
      <w:r>
        <w:rPr>
          <w:rFonts w:hint="eastAsia" w:ascii="宋体" w:hAnsi="宋体" w:eastAsia="宋体" w:cs="宋体"/>
          <w:b/>
          <w:bCs/>
          <w:color w:val="auto"/>
          <w:sz w:val="32"/>
          <w:szCs w:val="32"/>
          <w:highlight w:val="none"/>
          <w:u w:val="none"/>
          <w:lang w:val="en-US" w:eastAsia="zh-CN"/>
        </w:rPr>
        <w:t xml:space="preserve"> 年</w:t>
      </w:r>
      <w:r>
        <w:rPr>
          <w:rFonts w:hint="eastAsia" w:ascii="宋体" w:hAnsi="宋体" w:cs="宋体"/>
          <w:b/>
          <w:bCs/>
          <w:color w:val="auto"/>
          <w:sz w:val="32"/>
          <w:szCs w:val="32"/>
          <w:highlight w:val="none"/>
          <w:u w:val="none"/>
          <w:lang w:val="en-US" w:eastAsia="zh-CN"/>
        </w:rPr>
        <w:t>01</w:t>
      </w:r>
      <w:r>
        <w:rPr>
          <w:rFonts w:hint="eastAsia" w:ascii="宋体" w:hAnsi="宋体" w:eastAsia="宋体" w:cs="宋体"/>
          <w:b/>
          <w:bCs/>
          <w:color w:val="auto"/>
          <w:sz w:val="32"/>
          <w:szCs w:val="32"/>
          <w:highlight w:val="none"/>
          <w:u w:val="none"/>
          <w:lang w:val="en-US" w:eastAsia="zh-CN"/>
        </w:rPr>
        <w:t>月</w:t>
      </w:r>
      <w:bookmarkEnd w:id="10"/>
      <w:bookmarkEnd w:id="11"/>
      <w:bookmarkEnd w:id="12"/>
      <w:r>
        <w:rPr>
          <w:rFonts w:hint="eastAsia" w:ascii="宋体" w:hAnsi="宋体" w:eastAsia="宋体" w:cs="宋体"/>
          <w:b/>
          <w:bCs/>
          <w:color w:val="auto"/>
          <w:sz w:val="32"/>
          <w:szCs w:val="32"/>
          <w:highlight w:val="none"/>
          <w:u w:val="none"/>
          <w:lang w:val="en-US" w:eastAsia="zh-CN"/>
        </w:rPr>
        <w:t xml:space="preserve"> </w:t>
      </w:r>
    </w:p>
    <w:p w14:paraId="50A261ED">
      <w:pPr>
        <w:spacing w:line="600" w:lineRule="auto"/>
        <w:ind w:firstLine="437"/>
        <w:jc w:val="center"/>
        <w:rPr>
          <w:rFonts w:hint="eastAsia" w:ascii="宋体" w:hAnsi="宋体" w:eastAsia="宋体" w:cs="宋体"/>
          <w:color w:val="auto"/>
          <w:sz w:val="28"/>
          <w:szCs w:val="28"/>
          <w:highlight w:val="none"/>
        </w:rPr>
      </w:pPr>
    </w:p>
    <w:p w14:paraId="04FE1A9F">
      <w:pPr>
        <w:spacing w:line="600" w:lineRule="auto"/>
        <w:ind w:firstLine="437"/>
        <w:jc w:val="center"/>
        <w:rPr>
          <w:rFonts w:hint="eastAsia" w:ascii="宋体" w:hAnsi="宋体" w:eastAsia="宋体" w:cs="宋体"/>
          <w:color w:val="auto"/>
          <w:sz w:val="28"/>
          <w:szCs w:val="28"/>
          <w:highlight w:val="none"/>
        </w:rPr>
      </w:pPr>
    </w:p>
    <w:p w14:paraId="53184697">
      <w:pPr>
        <w:spacing w:line="540" w:lineRule="exact"/>
        <w:jc w:val="center"/>
        <w:rPr>
          <w:rFonts w:hint="eastAsia" w:ascii="宋体" w:hAnsi="宋体" w:eastAsia="宋体" w:cs="宋体"/>
          <w:bCs/>
          <w:color w:val="auto"/>
          <w:sz w:val="36"/>
          <w:szCs w:val="36"/>
          <w:highlight w:val="none"/>
        </w:rPr>
        <w:sectPr>
          <w:footerReference r:id="rId3" w:type="default"/>
          <w:pgSz w:w="11907" w:h="16840"/>
          <w:pgMar w:top="1418" w:right="1418" w:bottom="1418" w:left="1418" w:header="851" w:footer="850" w:gutter="0"/>
          <w:pgNumType w:start="1"/>
          <w:cols w:space="720" w:num="1"/>
          <w:docGrid w:linePitch="312" w:charSpace="0"/>
        </w:sectPr>
      </w:pPr>
    </w:p>
    <w:p w14:paraId="310377F1">
      <w:pPr>
        <w:spacing w:line="540" w:lineRule="exact"/>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 xml:space="preserve"> 目  录</w:t>
      </w:r>
    </w:p>
    <w:p w14:paraId="07F92039">
      <w:pPr>
        <w:pStyle w:val="32"/>
        <w:tabs>
          <w:tab w:val="right" w:leader="dot" w:pos="9071"/>
        </w:tabs>
        <w:rPr>
          <w:color w:val="auto"/>
        </w:rPr>
      </w:pP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TOC \o "1-2" \h \u </w:instrText>
      </w:r>
      <w:r>
        <w:rPr>
          <w:rFonts w:hint="eastAsia" w:ascii="宋体" w:hAnsi="宋体" w:eastAsia="宋体" w:cs="宋体"/>
          <w:color w:val="auto"/>
          <w:sz w:val="24"/>
          <w:highlight w:val="none"/>
        </w:rPr>
        <w:fldChar w:fldCharType="separate"/>
      </w:r>
    </w:p>
    <w:p w14:paraId="31AC8F0D">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_Toc9493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44"/>
          <w:highlight w:val="none"/>
        </w:rPr>
        <w:t>第  一  卷</w:t>
      </w:r>
      <w:r>
        <w:rPr>
          <w:color w:val="auto"/>
        </w:rPr>
        <w:tab/>
      </w:r>
      <w:r>
        <w:rPr>
          <w:color w:val="auto"/>
        </w:rPr>
        <w:fldChar w:fldCharType="begin"/>
      </w:r>
      <w:r>
        <w:rPr>
          <w:color w:val="auto"/>
        </w:rPr>
        <w:instrText xml:space="preserve"> PAGEREF _Toc9493 \h </w:instrText>
      </w:r>
      <w:r>
        <w:rPr>
          <w:color w:val="auto"/>
        </w:rPr>
        <w:fldChar w:fldCharType="separate"/>
      </w:r>
      <w:r>
        <w:rPr>
          <w:color w:val="auto"/>
        </w:rPr>
        <w:t>4</w:t>
      </w:r>
      <w:r>
        <w:rPr>
          <w:color w:val="auto"/>
        </w:rPr>
        <w:fldChar w:fldCharType="end"/>
      </w:r>
      <w:r>
        <w:rPr>
          <w:rFonts w:hint="eastAsia" w:ascii="宋体" w:hAnsi="宋体" w:eastAsia="宋体" w:cs="宋体"/>
          <w:color w:val="auto"/>
          <w:highlight w:val="none"/>
        </w:rPr>
        <w:fldChar w:fldCharType="end"/>
      </w:r>
    </w:p>
    <w:p w14:paraId="349201E6">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_Toc15711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 xml:space="preserve">第一章  </w:t>
      </w:r>
      <w:r>
        <w:rPr>
          <w:rFonts w:hint="eastAsia" w:ascii="宋体" w:hAnsi="宋体" w:cs="宋体"/>
          <w:bCs w:val="0"/>
          <w:color w:val="auto"/>
          <w:highlight w:val="none"/>
          <w:lang w:val="en-US" w:eastAsia="zh-CN"/>
        </w:rPr>
        <w:t>招标公告</w:t>
      </w:r>
      <w:r>
        <w:rPr>
          <w:color w:val="auto"/>
        </w:rPr>
        <w:tab/>
      </w:r>
      <w:r>
        <w:rPr>
          <w:color w:val="auto"/>
        </w:rPr>
        <w:fldChar w:fldCharType="begin"/>
      </w:r>
      <w:r>
        <w:rPr>
          <w:color w:val="auto"/>
        </w:rPr>
        <w:instrText xml:space="preserve"> PAGEREF _Toc15711 \h </w:instrText>
      </w:r>
      <w:r>
        <w:rPr>
          <w:color w:val="auto"/>
        </w:rPr>
        <w:fldChar w:fldCharType="separate"/>
      </w:r>
      <w:r>
        <w:rPr>
          <w:color w:val="auto"/>
        </w:rPr>
        <w:t>5</w:t>
      </w:r>
      <w:r>
        <w:rPr>
          <w:color w:val="auto"/>
        </w:rPr>
        <w:fldChar w:fldCharType="end"/>
      </w:r>
      <w:r>
        <w:rPr>
          <w:rFonts w:hint="eastAsia" w:ascii="宋体" w:hAnsi="宋体" w:eastAsia="宋体" w:cs="宋体"/>
          <w:color w:val="auto"/>
          <w:highlight w:val="none"/>
        </w:rPr>
        <w:fldChar w:fldCharType="end"/>
      </w:r>
    </w:p>
    <w:p w14:paraId="3779EB6E">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_Toc1272 </w:instrText>
      </w:r>
      <w:r>
        <w:rPr>
          <w:rFonts w:hint="eastAsia" w:ascii="宋体" w:hAnsi="宋体" w:eastAsia="宋体" w:cs="宋体"/>
          <w:color w:val="auto"/>
          <w:highlight w:val="none"/>
        </w:rPr>
        <w:fldChar w:fldCharType="separate"/>
      </w:r>
      <w:r>
        <w:rPr>
          <w:rFonts w:hint="eastAsia" w:ascii="宋体" w:hAnsi="宋体" w:cs="宋体"/>
          <w:color w:val="auto"/>
          <w:highlight w:val="none"/>
          <w:lang w:val="en-US" w:eastAsia="zh-CN"/>
        </w:rPr>
        <w:t>沱涔大道帮扶车间产业园建设项目</w:t>
      </w:r>
      <w:r>
        <w:rPr>
          <w:rFonts w:hint="eastAsia" w:ascii="宋体" w:hAnsi="宋体" w:eastAsia="宋体" w:cs="宋体"/>
          <w:color w:val="auto"/>
          <w:highlight w:val="none"/>
        </w:rPr>
        <w:t>施工</w:t>
      </w:r>
      <w:r>
        <w:rPr>
          <w:rFonts w:hint="eastAsia" w:ascii="宋体" w:hAnsi="宋体" w:cs="宋体"/>
          <w:color w:val="auto"/>
          <w:highlight w:val="none"/>
          <w:lang w:val="en-US" w:eastAsia="zh-CN"/>
        </w:rPr>
        <w:t>招标公告</w:t>
      </w:r>
      <w:r>
        <w:rPr>
          <w:color w:val="auto"/>
        </w:rPr>
        <w:tab/>
      </w:r>
      <w:r>
        <w:rPr>
          <w:color w:val="auto"/>
        </w:rPr>
        <w:fldChar w:fldCharType="begin"/>
      </w:r>
      <w:r>
        <w:rPr>
          <w:color w:val="auto"/>
        </w:rPr>
        <w:instrText xml:space="preserve"> PAGEREF _Toc1272 \h </w:instrText>
      </w:r>
      <w:r>
        <w:rPr>
          <w:color w:val="auto"/>
        </w:rPr>
        <w:fldChar w:fldCharType="separate"/>
      </w:r>
      <w:r>
        <w:rPr>
          <w:color w:val="auto"/>
        </w:rPr>
        <w:t>5</w:t>
      </w:r>
      <w:r>
        <w:rPr>
          <w:color w:val="auto"/>
        </w:rPr>
        <w:fldChar w:fldCharType="end"/>
      </w:r>
      <w:r>
        <w:rPr>
          <w:rFonts w:hint="eastAsia" w:ascii="宋体" w:hAnsi="宋体" w:eastAsia="宋体" w:cs="宋体"/>
          <w:color w:val="auto"/>
          <w:highlight w:val="none"/>
        </w:rPr>
        <w:fldChar w:fldCharType="end"/>
      </w:r>
    </w:p>
    <w:p w14:paraId="4DE95262">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_Toc22392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1.项目概况</w:t>
      </w:r>
      <w:r>
        <w:rPr>
          <w:color w:val="auto"/>
        </w:rPr>
        <w:tab/>
      </w:r>
      <w:r>
        <w:rPr>
          <w:color w:val="auto"/>
        </w:rPr>
        <w:fldChar w:fldCharType="begin"/>
      </w:r>
      <w:r>
        <w:rPr>
          <w:color w:val="auto"/>
        </w:rPr>
        <w:instrText xml:space="preserve"> PAGEREF _Toc22392 \h </w:instrText>
      </w:r>
      <w:r>
        <w:rPr>
          <w:color w:val="auto"/>
        </w:rPr>
        <w:fldChar w:fldCharType="separate"/>
      </w:r>
      <w:r>
        <w:rPr>
          <w:color w:val="auto"/>
        </w:rPr>
        <w:t>5</w:t>
      </w:r>
      <w:r>
        <w:rPr>
          <w:color w:val="auto"/>
        </w:rPr>
        <w:fldChar w:fldCharType="end"/>
      </w:r>
      <w:r>
        <w:rPr>
          <w:rFonts w:hint="eastAsia" w:ascii="宋体" w:hAnsi="宋体" w:eastAsia="宋体" w:cs="宋体"/>
          <w:color w:val="auto"/>
          <w:highlight w:val="none"/>
        </w:rPr>
        <w:fldChar w:fldCharType="end"/>
      </w:r>
    </w:p>
    <w:p w14:paraId="68853AE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_Toc5125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2.资格要求</w:t>
      </w:r>
      <w:r>
        <w:rPr>
          <w:color w:val="auto"/>
        </w:rPr>
        <w:tab/>
      </w:r>
      <w:r>
        <w:rPr>
          <w:color w:val="auto"/>
        </w:rPr>
        <w:fldChar w:fldCharType="begin"/>
      </w:r>
      <w:r>
        <w:rPr>
          <w:color w:val="auto"/>
        </w:rPr>
        <w:instrText xml:space="preserve"> PAGEREF _Toc5125 \h </w:instrText>
      </w:r>
      <w:r>
        <w:rPr>
          <w:color w:val="auto"/>
        </w:rPr>
        <w:fldChar w:fldCharType="separate"/>
      </w:r>
      <w:r>
        <w:rPr>
          <w:color w:val="auto"/>
        </w:rPr>
        <w:t>6</w:t>
      </w:r>
      <w:r>
        <w:rPr>
          <w:color w:val="auto"/>
        </w:rPr>
        <w:fldChar w:fldCharType="end"/>
      </w:r>
      <w:r>
        <w:rPr>
          <w:rFonts w:hint="eastAsia" w:ascii="宋体" w:hAnsi="宋体" w:eastAsia="宋体" w:cs="宋体"/>
          <w:color w:val="auto"/>
          <w:highlight w:val="none"/>
        </w:rPr>
        <w:fldChar w:fldCharType="end"/>
      </w:r>
    </w:p>
    <w:p w14:paraId="1D9EA2A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_Toc29282 </w:instrText>
      </w:r>
      <w:r>
        <w:rPr>
          <w:rFonts w:hint="eastAsia" w:ascii="宋体" w:hAnsi="宋体" w:eastAsia="宋体" w:cs="宋体"/>
          <w:color w:val="auto"/>
          <w:highlight w:val="none"/>
        </w:rPr>
        <w:fldChar w:fldCharType="separate"/>
      </w:r>
      <w:r>
        <w:rPr>
          <w:rFonts w:hint="eastAsia" w:ascii="Times New Roman" w:hAnsi="Times New Roman" w:eastAsia="黑体"/>
          <w:bCs w:val="0"/>
          <w:color w:val="auto"/>
          <w:highlight w:val="none"/>
        </w:rPr>
        <w:t>3</w:t>
      </w:r>
      <w:r>
        <w:rPr>
          <w:rFonts w:ascii="Times New Roman" w:hAnsi="Times New Roman" w:eastAsia="黑体"/>
          <w:bCs w:val="0"/>
          <w:color w:val="auto"/>
          <w:highlight w:val="none"/>
        </w:rPr>
        <w:t>.资格审查</w:t>
      </w:r>
      <w:r>
        <w:rPr>
          <w:color w:val="auto"/>
        </w:rPr>
        <w:tab/>
      </w:r>
      <w:r>
        <w:rPr>
          <w:color w:val="auto"/>
        </w:rPr>
        <w:fldChar w:fldCharType="begin"/>
      </w:r>
      <w:r>
        <w:rPr>
          <w:color w:val="auto"/>
        </w:rPr>
        <w:instrText xml:space="preserve"> PAGEREF _Toc29282 \h </w:instrText>
      </w:r>
      <w:r>
        <w:rPr>
          <w:color w:val="auto"/>
        </w:rPr>
        <w:fldChar w:fldCharType="separate"/>
      </w:r>
      <w:r>
        <w:rPr>
          <w:color w:val="auto"/>
        </w:rPr>
        <w:t>6</w:t>
      </w:r>
      <w:r>
        <w:rPr>
          <w:color w:val="auto"/>
        </w:rPr>
        <w:fldChar w:fldCharType="end"/>
      </w:r>
      <w:r>
        <w:rPr>
          <w:rFonts w:hint="eastAsia" w:ascii="宋体" w:hAnsi="宋体" w:eastAsia="宋体" w:cs="宋体"/>
          <w:color w:val="auto"/>
          <w:highlight w:val="none"/>
        </w:rPr>
        <w:fldChar w:fldCharType="end"/>
      </w:r>
    </w:p>
    <w:p w14:paraId="6668399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_Toc19118 </w:instrText>
      </w:r>
      <w:r>
        <w:rPr>
          <w:rFonts w:hint="eastAsia" w:ascii="宋体" w:hAnsi="宋体" w:eastAsia="宋体" w:cs="宋体"/>
          <w:color w:val="auto"/>
          <w:highlight w:val="none"/>
        </w:rPr>
        <w:fldChar w:fldCharType="separate"/>
      </w:r>
      <w:r>
        <w:rPr>
          <w:rFonts w:ascii="Times New Roman" w:hAnsi="Times New Roman" w:eastAsia="黑体"/>
          <w:bCs w:val="0"/>
          <w:color w:val="auto"/>
          <w:highlight w:val="none"/>
        </w:rPr>
        <w:t>4.评标办法</w:t>
      </w:r>
      <w:r>
        <w:rPr>
          <w:color w:val="auto"/>
        </w:rPr>
        <w:tab/>
      </w:r>
      <w:r>
        <w:rPr>
          <w:color w:val="auto"/>
        </w:rPr>
        <w:fldChar w:fldCharType="begin"/>
      </w:r>
      <w:r>
        <w:rPr>
          <w:color w:val="auto"/>
        </w:rPr>
        <w:instrText xml:space="preserve"> PAGEREF _Toc19118 \h </w:instrText>
      </w:r>
      <w:r>
        <w:rPr>
          <w:color w:val="auto"/>
        </w:rPr>
        <w:fldChar w:fldCharType="separate"/>
      </w:r>
      <w:r>
        <w:rPr>
          <w:color w:val="auto"/>
        </w:rPr>
        <w:t>6</w:t>
      </w:r>
      <w:r>
        <w:rPr>
          <w:color w:val="auto"/>
        </w:rPr>
        <w:fldChar w:fldCharType="end"/>
      </w:r>
      <w:r>
        <w:rPr>
          <w:rFonts w:hint="eastAsia" w:ascii="宋体" w:hAnsi="宋体" w:eastAsia="宋体" w:cs="宋体"/>
          <w:color w:val="auto"/>
          <w:highlight w:val="none"/>
        </w:rPr>
        <w:fldChar w:fldCharType="end"/>
      </w:r>
    </w:p>
    <w:p w14:paraId="24FAB91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_Toc6487 </w:instrText>
      </w:r>
      <w:r>
        <w:rPr>
          <w:rFonts w:hint="eastAsia" w:ascii="宋体" w:hAnsi="宋体" w:eastAsia="宋体" w:cs="宋体"/>
          <w:color w:val="auto"/>
          <w:highlight w:val="none"/>
        </w:rPr>
        <w:fldChar w:fldCharType="separate"/>
      </w:r>
      <w:r>
        <w:rPr>
          <w:rFonts w:hint="eastAsia" w:ascii="宋体" w:hAnsi="宋体" w:cs="宋体"/>
          <w:bCs/>
          <w:color w:val="auto"/>
          <w:highlight w:val="none"/>
          <w:lang w:val="en-US" w:eastAsia="zh-CN"/>
        </w:rPr>
        <w:t>5</w:t>
      </w:r>
      <w:r>
        <w:rPr>
          <w:rFonts w:hint="eastAsia" w:ascii="宋体" w:hAnsi="宋体" w:eastAsia="宋体" w:cs="宋体"/>
          <w:bCs/>
          <w:color w:val="auto"/>
          <w:highlight w:val="none"/>
        </w:rPr>
        <w:t>.招标文件的获取</w:t>
      </w:r>
      <w:r>
        <w:rPr>
          <w:color w:val="auto"/>
        </w:rPr>
        <w:tab/>
      </w:r>
      <w:r>
        <w:rPr>
          <w:color w:val="auto"/>
        </w:rPr>
        <w:fldChar w:fldCharType="begin"/>
      </w:r>
      <w:r>
        <w:rPr>
          <w:color w:val="auto"/>
        </w:rPr>
        <w:instrText xml:space="preserve"> PAGEREF _Toc6487 \h </w:instrText>
      </w:r>
      <w:r>
        <w:rPr>
          <w:color w:val="auto"/>
        </w:rPr>
        <w:fldChar w:fldCharType="separate"/>
      </w:r>
      <w:r>
        <w:rPr>
          <w:color w:val="auto"/>
        </w:rPr>
        <w:t>6</w:t>
      </w:r>
      <w:r>
        <w:rPr>
          <w:color w:val="auto"/>
        </w:rPr>
        <w:fldChar w:fldCharType="end"/>
      </w:r>
      <w:r>
        <w:rPr>
          <w:rFonts w:hint="eastAsia" w:ascii="宋体" w:hAnsi="宋体" w:eastAsia="宋体" w:cs="宋体"/>
          <w:color w:val="auto"/>
          <w:highlight w:val="none"/>
        </w:rPr>
        <w:fldChar w:fldCharType="end"/>
      </w:r>
    </w:p>
    <w:p w14:paraId="59190E6E">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_Toc20897 </w:instrText>
      </w:r>
      <w:r>
        <w:rPr>
          <w:rFonts w:hint="eastAsia" w:ascii="宋体" w:hAnsi="宋体" w:eastAsia="宋体" w:cs="宋体"/>
          <w:color w:val="auto"/>
          <w:highlight w:val="none"/>
        </w:rPr>
        <w:fldChar w:fldCharType="separate"/>
      </w:r>
      <w:r>
        <w:rPr>
          <w:rFonts w:hint="eastAsia" w:ascii="宋体" w:hAnsi="宋体" w:cs="宋体"/>
          <w:bCs/>
          <w:color w:val="auto"/>
          <w:highlight w:val="none"/>
          <w:lang w:val="en-US" w:eastAsia="zh-CN"/>
        </w:rPr>
        <w:t>6</w:t>
      </w:r>
      <w:r>
        <w:rPr>
          <w:rFonts w:hint="eastAsia" w:ascii="宋体" w:hAnsi="宋体" w:eastAsia="宋体" w:cs="宋体"/>
          <w:bCs/>
          <w:color w:val="auto"/>
          <w:highlight w:val="none"/>
        </w:rPr>
        <w:t>.投标文件的递交</w:t>
      </w:r>
      <w:r>
        <w:rPr>
          <w:color w:val="auto"/>
        </w:rPr>
        <w:tab/>
      </w:r>
      <w:r>
        <w:rPr>
          <w:color w:val="auto"/>
        </w:rPr>
        <w:fldChar w:fldCharType="begin"/>
      </w:r>
      <w:r>
        <w:rPr>
          <w:color w:val="auto"/>
        </w:rPr>
        <w:instrText xml:space="preserve"> PAGEREF _Toc20897 \h </w:instrText>
      </w:r>
      <w:r>
        <w:rPr>
          <w:color w:val="auto"/>
        </w:rPr>
        <w:fldChar w:fldCharType="separate"/>
      </w:r>
      <w:r>
        <w:rPr>
          <w:color w:val="auto"/>
        </w:rPr>
        <w:t>7</w:t>
      </w:r>
      <w:r>
        <w:rPr>
          <w:color w:val="auto"/>
        </w:rPr>
        <w:fldChar w:fldCharType="end"/>
      </w:r>
      <w:r>
        <w:rPr>
          <w:rFonts w:hint="eastAsia" w:ascii="宋体" w:hAnsi="宋体" w:eastAsia="宋体" w:cs="宋体"/>
          <w:color w:val="auto"/>
          <w:highlight w:val="none"/>
        </w:rPr>
        <w:fldChar w:fldCharType="end"/>
      </w:r>
    </w:p>
    <w:p w14:paraId="6792AB8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_Toc31521 </w:instrText>
      </w:r>
      <w:r>
        <w:rPr>
          <w:rFonts w:hint="eastAsia" w:ascii="宋体" w:hAnsi="宋体" w:eastAsia="宋体" w:cs="宋体"/>
          <w:color w:val="auto"/>
          <w:highlight w:val="none"/>
        </w:rPr>
        <w:fldChar w:fldCharType="separate"/>
      </w:r>
      <w:r>
        <w:rPr>
          <w:rFonts w:ascii="Times New Roman" w:hAnsi="Times New Roman" w:eastAsia="黑体"/>
          <w:bCs w:val="0"/>
          <w:color w:val="auto"/>
        </w:rPr>
        <w:t>7.发布公告的媒介</w:t>
      </w:r>
      <w:r>
        <w:rPr>
          <w:color w:val="auto"/>
        </w:rPr>
        <w:tab/>
      </w:r>
      <w:r>
        <w:rPr>
          <w:color w:val="auto"/>
        </w:rPr>
        <w:fldChar w:fldCharType="begin"/>
      </w:r>
      <w:r>
        <w:rPr>
          <w:color w:val="auto"/>
        </w:rPr>
        <w:instrText xml:space="preserve"> PAGEREF _Toc31521 \h </w:instrText>
      </w:r>
      <w:r>
        <w:rPr>
          <w:color w:val="auto"/>
        </w:rPr>
        <w:fldChar w:fldCharType="separate"/>
      </w:r>
      <w:r>
        <w:rPr>
          <w:color w:val="auto"/>
        </w:rPr>
        <w:t>7</w:t>
      </w:r>
      <w:r>
        <w:rPr>
          <w:color w:val="auto"/>
        </w:rPr>
        <w:fldChar w:fldCharType="end"/>
      </w:r>
      <w:r>
        <w:rPr>
          <w:rFonts w:hint="eastAsia" w:ascii="宋体" w:hAnsi="宋体" w:eastAsia="宋体" w:cs="宋体"/>
          <w:color w:val="auto"/>
          <w:highlight w:val="none"/>
        </w:rPr>
        <w:fldChar w:fldCharType="end"/>
      </w:r>
    </w:p>
    <w:p w14:paraId="399107B5">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_Toc2551 </w:instrText>
      </w:r>
      <w:r>
        <w:rPr>
          <w:rFonts w:hint="eastAsia" w:ascii="宋体" w:hAnsi="宋体" w:eastAsia="宋体" w:cs="宋体"/>
          <w:color w:val="auto"/>
          <w:highlight w:val="none"/>
        </w:rPr>
        <w:fldChar w:fldCharType="separate"/>
      </w:r>
      <w:r>
        <w:rPr>
          <w:rFonts w:ascii="Times New Roman" w:hAnsi="Times New Roman" w:eastAsia="黑体"/>
          <w:bCs w:val="0"/>
          <w:color w:val="auto"/>
        </w:rPr>
        <w:t>8.行政监督</w:t>
      </w:r>
      <w:r>
        <w:rPr>
          <w:color w:val="auto"/>
        </w:rPr>
        <w:tab/>
      </w:r>
      <w:r>
        <w:rPr>
          <w:color w:val="auto"/>
        </w:rPr>
        <w:fldChar w:fldCharType="begin"/>
      </w:r>
      <w:r>
        <w:rPr>
          <w:color w:val="auto"/>
        </w:rPr>
        <w:instrText xml:space="preserve"> PAGEREF _Toc2551 \h </w:instrText>
      </w:r>
      <w:r>
        <w:rPr>
          <w:color w:val="auto"/>
        </w:rPr>
        <w:fldChar w:fldCharType="separate"/>
      </w:r>
      <w:r>
        <w:rPr>
          <w:color w:val="auto"/>
        </w:rPr>
        <w:t>7</w:t>
      </w:r>
      <w:r>
        <w:rPr>
          <w:color w:val="auto"/>
        </w:rPr>
        <w:fldChar w:fldCharType="end"/>
      </w:r>
      <w:r>
        <w:rPr>
          <w:rFonts w:hint="eastAsia" w:ascii="宋体" w:hAnsi="宋体" w:eastAsia="宋体" w:cs="宋体"/>
          <w:color w:val="auto"/>
          <w:highlight w:val="none"/>
        </w:rPr>
        <w:fldChar w:fldCharType="end"/>
      </w:r>
    </w:p>
    <w:p w14:paraId="3494291D">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_Toc29730 </w:instrText>
      </w:r>
      <w:r>
        <w:rPr>
          <w:rFonts w:hint="eastAsia" w:ascii="宋体" w:hAnsi="宋体" w:eastAsia="宋体" w:cs="宋体"/>
          <w:color w:val="auto"/>
          <w:highlight w:val="none"/>
        </w:rPr>
        <w:fldChar w:fldCharType="separate"/>
      </w:r>
      <w:r>
        <w:rPr>
          <w:rFonts w:ascii="Times New Roman" w:hAnsi="Times New Roman" w:eastAsia="黑体"/>
          <w:bCs w:val="0"/>
          <w:color w:val="auto"/>
        </w:rPr>
        <w:t>9.其它</w:t>
      </w:r>
      <w:r>
        <w:rPr>
          <w:color w:val="auto"/>
        </w:rPr>
        <w:tab/>
      </w:r>
      <w:r>
        <w:rPr>
          <w:color w:val="auto"/>
        </w:rPr>
        <w:fldChar w:fldCharType="begin"/>
      </w:r>
      <w:r>
        <w:rPr>
          <w:color w:val="auto"/>
        </w:rPr>
        <w:instrText xml:space="preserve"> PAGEREF _Toc29730 \h </w:instrText>
      </w:r>
      <w:r>
        <w:rPr>
          <w:color w:val="auto"/>
        </w:rPr>
        <w:fldChar w:fldCharType="separate"/>
      </w:r>
      <w:r>
        <w:rPr>
          <w:color w:val="auto"/>
        </w:rPr>
        <w:t>7</w:t>
      </w:r>
      <w:r>
        <w:rPr>
          <w:color w:val="auto"/>
        </w:rPr>
        <w:fldChar w:fldCharType="end"/>
      </w:r>
      <w:r>
        <w:rPr>
          <w:rFonts w:hint="eastAsia" w:ascii="宋体" w:hAnsi="宋体" w:eastAsia="宋体" w:cs="宋体"/>
          <w:color w:val="auto"/>
          <w:highlight w:val="none"/>
        </w:rPr>
        <w:fldChar w:fldCharType="end"/>
      </w:r>
    </w:p>
    <w:p w14:paraId="136B0220">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_Toc1931 </w:instrText>
      </w:r>
      <w:r>
        <w:rPr>
          <w:rFonts w:hint="eastAsia" w:ascii="宋体" w:hAnsi="宋体" w:eastAsia="宋体" w:cs="宋体"/>
          <w:color w:val="auto"/>
          <w:highlight w:val="none"/>
        </w:rPr>
        <w:fldChar w:fldCharType="separate"/>
      </w:r>
      <w:r>
        <w:rPr>
          <w:rFonts w:hint="eastAsia" w:ascii="宋体" w:hAnsi="宋体" w:cs="宋体"/>
          <w:bCs/>
          <w:color w:val="auto"/>
          <w:highlight w:val="none"/>
          <w:lang w:val="en-US" w:eastAsia="zh-CN"/>
        </w:rPr>
        <w:t>10</w:t>
      </w:r>
      <w:r>
        <w:rPr>
          <w:rFonts w:hint="eastAsia" w:ascii="宋体" w:hAnsi="宋体" w:eastAsia="宋体" w:cs="宋体"/>
          <w:bCs/>
          <w:color w:val="auto"/>
          <w:highlight w:val="none"/>
        </w:rPr>
        <w:t>.联系方式</w:t>
      </w:r>
      <w:r>
        <w:rPr>
          <w:color w:val="auto"/>
        </w:rPr>
        <w:tab/>
      </w:r>
      <w:r>
        <w:rPr>
          <w:color w:val="auto"/>
        </w:rPr>
        <w:fldChar w:fldCharType="begin"/>
      </w:r>
      <w:r>
        <w:rPr>
          <w:color w:val="auto"/>
        </w:rPr>
        <w:instrText xml:space="preserve"> PAGEREF _Toc1931 \h </w:instrText>
      </w:r>
      <w:r>
        <w:rPr>
          <w:color w:val="auto"/>
        </w:rPr>
        <w:fldChar w:fldCharType="separate"/>
      </w:r>
      <w:r>
        <w:rPr>
          <w:color w:val="auto"/>
        </w:rPr>
        <w:t>7</w:t>
      </w:r>
      <w:r>
        <w:rPr>
          <w:color w:val="auto"/>
        </w:rPr>
        <w:fldChar w:fldCharType="end"/>
      </w:r>
      <w:r>
        <w:rPr>
          <w:rFonts w:hint="eastAsia" w:ascii="宋体" w:hAnsi="宋体" w:eastAsia="宋体" w:cs="宋体"/>
          <w:color w:val="auto"/>
          <w:highlight w:val="none"/>
        </w:rPr>
        <w:fldChar w:fldCharType="end"/>
      </w:r>
    </w:p>
    <w:p w14:paraId="65A62071">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_Toc21955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第二章  投标人须知</w:t>
      </w:r>
      <w:r>
        <w:rPr>
          <w:color w:val="auto"/>
        </w:rPr>
        <w:tab/>
      </w:r>
      <w:r>
        <w:rPr>
          <w:color w:val="auto"/>
        </w:rPr>
        <w:fldChar w:fldCharType="begin"/>
      </w:r>
      <w:r>
        <w:rPr>
          <w:color w:val="auto"/>
        </w:rPr>
        <w:instrText xml:space="preserve"> PAGEREF _Toc21955 \h </w:instrText>
      </w:r>
      <w:r>
        <w:rPr>
          <w:color w:val="auto"/>
        </w:rPr>
        <w:fldChar w:fldCharType="separate"/>
      </w:r>
      <w:r>
        <w:rPr>
          <w:color w:val="auto"/>
        </w:rPr>
        <w:t>9</w:t>
      </w:r>
      <w:r>
        <w:rPr>
          <w:color w:val="auto"/>
        </w:rPr>
        <w:fldChar w:fldCharType="end"/>
      </w:r>
      <w:r>
        <w:rPr>
          <w:rFonts w:hint="eastAsia" w:ascii="宋体" w:hAnsi="宋体" w:eastAsia="宋体" w:cs="宋体"/>
          <w:color w:val="auto"/>
          <w:highlight w:val="none"/>
        </w:rPr>
        <w:fldChar w:fldCharType="end"/>
      </w:r>
    </w:p>
    <w:p w14:paraId="7D762196">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_Toc5939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1.总则</w:t>
      </w:r>
      <w:r>
        <w:rPr>
          <w:color w:val="auto"/>
        </w:rPr>
        <w:tab/>
      </w:r>
      <w:r>
        <w:rPr>
          <w:color w:val="auto"/>
        </w:rPr>
        <w:fldChar w:fldCharType="begin"/>
      </w:r>
      <w:r>
        <w:rPr>
          <w:color w:val="auto"/>
        </w:rPr>
        <w:instrText xml:space="preserve"> PAGEREF _Toc5939 \h </w:instrText>
      </w:r>
      <w:r>
        <w:rPr>
          <w:color w:val="auto"/>
        </w:rPr>
        <w:fldChar w:fldCharType="separate"/>
      </w:r>
      <w:r>
        <w:rPr>
          <w:color w:val="auto"/>
        </w:rPr>
        <w:t>19</w:t>
      </w:r>
      <w:r>
        <w:rPr>
          <w:color w:val="auto"/>
        </w:rPr>
        <w:fldChar w:fldCharType="end"/>
      </w:r>
      <w:r>
        <w:rPr>
          <w:rFonts w:hint="eastAsia" w:ascii="宋体" w:hAnsi="宋体" w:eastAsia="宋体" w:cs="宋体"/>
          <w:color w:val="auto"/>
          <w:highlight w:val="none"/>
        </w:rPr>
        <w:fldChar w:fldCharType="end"/>
      </w:r>
    </w:p>
    <w:p w14:paraId="2984E66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_Toc15946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2.招标文件</w:t>
      </w:r>
      <w:r>
        <w:rPr>
          <w:color w:val="auto"/>
        </w:rPr>
        <w:tab/>
      </w:r>
      <w:r>
        <w:rPr>
          <w:color w:val="auto"/>
        </w:rPr>
        <w:fldChar w:fldCharType="begin"/>
      </w:r>
      <w:r>
        <w:rPr>
          <w:color w:val="auto"/>
        </w:rPr>
        <w:instrText xml:space="preserve"> PAGEREF _Toc15946 \h </w:instrText>
      </w:r>
      <w:r>
        <w:rPr>
          <w:color w:val="auto"/>
        </w:rPr>
        <w:fldChar w:fldCharType="separate"/>
      </w:r>
      <w:r>
        <w:rPr>
          <w:color w:val="auto"/>
        </w:rPr>
        <w:t>20</w:t>
      </w:r>
      <w:r>
        <w:rPr>
          <w:color w:val="auto"/>
        </w:rPr>
        <w:fldChar w:fldCharType="end"/>
      </w:r>
      <w:r>
        <w:rPr>
          <w:rFonts w:hint="eastAsia" w:ascii="宋体" w:hAnsi="宋体" w:eastAsia="宋体" w:cs="宋体"/>
          <w:color w:val="auto"/>
          <w:highlight w:val="none"/>
        </w:rPr>
        <w:fldChar w:fldCharType="end"/>
      </w:r>
    </w:p>
    <w:p w14:paraId="168F26C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_Toc30656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3.投标文件</w:t>
      </w:r>
      <w:r>
        <w:rPr>
          <w:color w:val="auto"/>
        </w:rPr>
        <w:tab/>
      </w:r>
      <w:r>
        <w:rPr>
          <w:color w:val="auto"/>
        </w:rPr>
        <w:fldChar w:fldCharType="begin"/>
      </w:r>
      <w:r>
        <w:rPr>
          <w:color w:val="auto"/>
        </w:rPr>
        <w:instrText xml:space="preserve"> PAGEREF _Toc30656 \h </w:instrText>
      </w:r>
      <w:r>
        <w:rPr>
          <w:color w:val="auto"/>
        </w:rPr>
        <w:fldChar w:fldCharType="separate"/>
      </w:r>
      <w:r>
        <w:rPr>
          <w:color w:val="auto"/>
        </w:rPr>
        <w:t>21</w:t>
      </w:r>
      <w:r>
        <w:rPr>
          <w:color w:val="auto"/>
        </w:rPr>
        <w:fldChar w:fldCharType="end"/>
      </w:r>
      <w:r>
        <w:rPr>
          <w:rFonts w:hint="eastAsia" w:ascii="宋体" w:hAnsi="宋体" w:eastAsia="宋体" w:cs="宋体"/>
          <w:color w:val="auto"/>
          <w:highlight w:val="none"/>
        </w:rPr>
        <w:fldChar w:fldCharType="end"/>
      </w:r>
    </w:p>
    <w:p w14:paraId="64BB5BD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_Toc11360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4.投标</w:t>
      </w:r>
      <w:r>
        <w:rPr>
          <w:color w:val="auto"/>
        </w:rPr>
        <w:tab/>
      </w:r>
      <w:r>
        <w:rPr>
          <w:color w:val="auto"/>
        </w:rPr>
        <w:fldChar w:fldCharType="begin"/>
      </w:r>
      <w:r>
        <w:rPr>
          <w:color w:val="auto"/>
        </w:rPr>
        <w:instrText xml:space="preserve"> PAGEREF _Toc11360 \h </w:instrText>
      </w:r>
      <w:r>
        <w:rPr>
          <w:color w:val="auto"/>
        </w:rPr>
        <w:fldChar w:fldCharType="separate"/>
      </w:r>
      <w:r>
        <w:rPr>
          <w:color w:val="auto"/>
        </w:rPr>
        <w:t>23</w:t>
      </w:r>
      <w:r>
        <w:rPr>
          <w:color w:val="auto"/>
        </w:rPr>
        <w:fldChar w:fldCharType="end"/>
      </w:r>
      <w:r>
        <w:rPr>
          <w:rFonts w:hint="eastAsia" w:ascii="宋体" w:hAnsi="宋体" w:eastAsia="宋体" w:cs="宋体"/>
          <w:color w:val="auto"/>
          <w:highlight w:val="none"/>
        </w:rPr>
        <w:fldChar w:fldCharType="end"/>
      </w:r>
    </w:p>
    <w:p w14:paraId="6FB16710">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_Toc25573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5.开标</w:t>
      </w:r>
      <w:r>
        <w:rPr>
          <w:color w:val="auto"/>
        </w:rPr>
        <w:tab/>
      </w:r>
      <w:r>
        <w:rPr>
          <w:color w:val="auto"/>
        </w:rPr>
        <w:fldChar w:fldCharType="begin"/>
      </w:r>
      <w:r>
        <w:rPr>
          <w:color w:val="auto"/>
        </w:rPr>
        <w:instrText xml:space="preserve"> PAGEREF _Toc25573 \h </w:instrText>
      </w:r>
      <w:r>
        <w:rPr>
          <w:color w:val="auto"/>
        </w:rPr>
        <w:fldChar w:fldCharType="separate"/>
      </w:r>
      <w:r>
        <w:rPr>
          <w:color w:val="auto"/>
        </w:rPr>
        <w:t>23</w:t>
      </w:r>
      <w:r>
        <w:rPr>
          <w:color w:val="auto"/>
        </w:rPr>
        <w:fldChar w:fldCharType="end"/>
      </w:r>
      <w:r>
        <w:rPr>
          <w:rFonts w:hint="eastAsia" w:ascii="宋体" w:hAnsi="宋体" w:eastAsia="宋体" w:cs="宋体"/>
          <w:color w:val="auto"/>
          <w:highlight w:val="none"/>
        </w:rPr>
        <w:fldChar w:fldCharType="end"/>
      </w:r>
    </w:p>
    <w:p w14:paraId="1E57466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_Toc5077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6.评标</w:t>
      </w:r>
      <w:r>
        <w:rPr>
          <w:color w:val="auto"/>
        </w:rPr>
        <w:tab/>
      </w:r>
      <w:r>
        <w:rPr>
          <w:color w:val="auto"/>
        </w:rPr>
        <w:fldChar w:fldCharType="begin"/>
      </w:r>
      <w:r>
        <w:rPr>
          <w:color w:val="auto"/>
        </w:rPr>
        <w:instrText xml:space="preserve"> PAGEREF _Toc5077 \h </w:instrText>
      </w:r>
      <w:r>
        <w:rPr>
          <w:color w:val="auto"/>
        </w:rPr>
        <w:fldChar w:fldCharType="separate"/>
      </w:r>
      <w:r>
        <w:rPr>
          <w:color w:val="auto"/>
        </w:rPr>
        <w:t>23</w:t>
      </w:r>
      <w:r>
        <w:rPr>
          <w:color w:val="auto"/>
        </w:rPr>
        <w:fldChar w:fldCharType="end"/>
      </w:r>
      <w:r>
        <w:rPr>
          <w:rFonts w:hint="eastAsia" w:ascii="宋体" w:hAnsi="宋体" w:eastAsia="宋体" w:cs="宋体"/>
          <w:color w:val="auto"/>
          <w:highlight w:val="none"/>
        </w:rPr>
        <w:fldChar w:fldCharType="end"/>
      </w:r>
    </w:p>
    <w:p w14:paraId="7D2C84E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_Toc15482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7.合同授予</w:t>
      </w:r>
      <w:r>
        <w:rPr>
          <w:color w:val="auto"/>
        </w:rPr>
        <w:tab/>
      </w:r>
      <w:r>
        <w:rPr>
          <w:color w:val="auto"/>
        </w:rPr>
        <w:fldChar w:fldCharType="begin"/>
      </w:r>
      <w:r>
        <w:rPr>
          <w:color w:val="auto"/>
        </w:rPr>
        <w:instrText xml:space="preserve"> PAGEREF _Toc15482 \h </w:instrText>
      </w:r>
      <w:r>
        <w:rPr>
          <w:color w:val="auto"/>
        </w:rPr>
        <w:fldChar w:fldCharType="separate"/>
      </w:r>
      <w:r>
        <w:rPr>
          <w:color w:val="auto"/>
        </w:rPr>
        <w:t>24</w:t>
      </w:r>
      <w:r>
        <w:rPr>
          <w:color w:val="auto"/>
        </w:rPr>
        <w:fldChar w:fldCharType="end"/>
      </w:r>
      <w:r>
        <w:rPr>
          <w:rFonts w:hint="eastAsia" w:ascii="宋体" w:hAnsi="宋体" w:eastAsia="宋体" w:cs="宋体"/>
          <w:color w:val="auto"/>
          <w:highlight w:val="none"/>
        </w:rPr>
        <w:fldChar w:fldCharType="end"/>
      </w:r>
    </w:p>
    <w:p w14:paraId="79805B5B">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_Toc9564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8.重新招标和不再招标</w:t>
      </w:r>
      <w:r>
        <w:rPr>
          <w:color w:val="auto"/>
        </w:rPr>
        <w:tab/>
      </w:r>
      <w:r>
        <w:rPr>
          <w:color w:val="auto"/>
        </w:rPr>
        <w:fldChar w:fldCharType="begin"/>
      </w:r>
      <w:r>
        <w:rPr>
          <w:color w:val="auto"/>
        </w:rPr>
        <w:instrText xml:space="preserve"> PAGEREF _Toc9564 \h </w:instrText>
      </w:r>
      <w:r>
        <w:rPr>
          <w:color w:val="auto"/>
        </w:rPr>
        <w:fldChar w:fldCharType="separate"/>
      </w:r>
      <w:r>
        <w:rPr>
          <w:color w:val="auto"/>
        </w:rPr>
        <w:t>25</w:t>
      </w:r>
      <w:r>
        <w:rPr>
          <w:color w:val="auto"/>
        </w:rPr>
        <w:fldChar w:fldCharType="end"/>
      </w:r>
      <w:r>
        <w:rPr>
          <w:rFonts w:hint="eastAsia" w:ascii="宋体" w:hAnsi="宋体" w:eastAsia="宋体" w:cs="宋体"/>
          <w:color w:val="auto"/>
          <w:highlight w:val="none"/>
        </w:rPr>
        <w:fldChar w:fldCharType="end"/>
      </w:r>
    </w:p>
    <w:p w14:paraId="6DC7A68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_Toc23991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9.纪律和监督</w:t>
      </w:r>
      <w:r>
        <w:rPr>
          <w:color w:val="auto"/>
        </w:rPr>
        <w:tab/>
      </w:r>
      <w:r>
        <w:rPr>
          <w:color w:val="auto"/>
        </w:rPr>
        <w:fldChar w:fldCharType="begin"/>
      </w:r>
      <w:r>
        <w:rPr>
          <w:color w:val="auto"/>
        </w:rPr>
        <w:instrText xml:space="preserve"> PAGEREF _Toc23991 \h </w:instrText>
      </w:r>
      <w:r>
        <w:rPr>
          <w:color w:val="auto"/>
        </w:rPr>
        <w:fldChar w:fldCharType="separate"/>
      </w:r>
      <w:r>
        <w:rPr>
          <w:color w:val="auto"/>
        </w:rPr>
        <w:t>25</w:t>
      </w:r>
      <w:r>
        <w:rPr>
          <w:color w:val="auto"/>
        </w:rPr>
        <w:fldChar w:fldCharType="end"/>
      </w:r>
      <w:r>
        <w:rPr>
          <w:rFonts w:hint="eastAsia" w:ascii="宋体" w:hAnsi="宋体" w:eastAsia="宋体" w:cs="宋体"/>
          <w:color w:val="auto"/>
          <w:highlight w:val="none"/>
        </w:rPr>
        <w:fldChar w:fldCharType="end"/>
      </w:r>
    </w:p>
    <w:p w14:paraId="64F8918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_Toc18774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10.需要补充的其他内容</w:t>
      </w:r>
      <w:r>
        <w:rPr>
          <w:color w:val="auto"/>
        </w:rPr>
        <w:tab/>
      </w:r>
      <w:r>
        <w:rPr>
          <w:color w:val="auto"/>
        </w:rPr>
        <w:fldChar w:fldCharType="begin"/>
      </w:r>
      <w:r>
        <w:rPr>
          <w:color w:val="auto"/>
        </w:rPr>
        <w:instrText xml:space="preserve"> PAGEREF _Toc18774 \h </w:instrText>
      </w:r>
      <w:r>
        <w:rPr>
          <w:color w:val="auto"/>
        </w:rPr>
        <w:fldChar w:fldCharType="separate"/>
      </w:r>
      <w:r>
        <w:rPr>
          <w:color w:val="auto"/>
        </w:rPr>
        <w:t>26</w:t>
      </w:r>
      <w:r>
        <w:rPr>
          <w:color w:val="auto"/>
        </w:rPr>
        <w:fldChar w:fldCharType="end"/>
      </w:r>
      <w:r>
        <w:rPr>
          <w:rFonts w:hint="eastAsia" w:ascii="宋体" w:hAnsi="宋体" w:eastAsia="宋体" w:cs="宋体"/>
          <w:color w:val="auto"/>
          <w:highlight w:val="none"/>
        </w:rPr>
        <w:fldChar w:fldCharType="end"/>
      </w:r>
    </w:p>
    <w:p w14:paraId="073E5DB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_Toc16213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8"/>
          <w:highlight w:val="none"/>
        </w:rPr>
        <w:t>投标报价成本评审办法</w:t>
      </w:r>
      <w:r>
        <w:rPr>
          <w:color w:val="auto"/>
        </w:rPr>
        <w:tab/>
      </w:r>
      <w:r>
        <w:rPr>
          <w:color w:val="auto"/>
        </w:rPr>
        <w:fldChar w:fldCharType="begin"/>
      </w:r>
      <w:r>
        <w:rPr>
          <w:color w:val="auto"/>
        </w:rPr>
        <w:instrText xml:space="preserve"> PAGEREF _Toc16213 \h </w:instrText>
      </w:r>
      <w:r>
        <w:rPr>
          <w:color w:val="auto"/>
        </w:rPr>
        <w:fldChar w:fldCharType="separate"/>
      </w:r>
      <w:r>
        <w:rPr>
          <w:color w:val="auto"/>
        </w:rPr>
        <w:t>28</w:t>
      </w:r>
      <w:r>
        <w:rPr>
          <w:color w:val="auto"/>
        </w:rPr>
        <w:fldChar w:fldCharType="end"/>
      </w:r>
      <w:r>
        <w:rPr>
          <w:rFonts w:hint="eastAsia" w:ascii="宋体" w:hAnsi="宋体" w:eastAsia="宋体" w:cs="宋体"/>
          <w:color w:val="auto"/>
          <w:highlight w:val="none"/>
        </w:rPr>
        <w:fldChar w:fldCharType="end"/>
      </w:r>
    </w:p>
    <w:p w14:paraId="310DEBD0">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_Toc3571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1.启动成本评审工作的前提条件</w:t>
      </w:r>
      <w:r>
        <w:rPr>
          <w:color w:val="auto"/>
        </w:rPr>
        <w:tab/>
      </w:r>
      <w:r>
        <w:rPr>
          <w:color w:val="auto"/>
        </w:rPr>
        <w:fldChar w:fldCharType="begin"/>
      </w:r>
      <w:r>
        <w:rPr>
          <w:color w:val="auto"/>
        </w:rPr>
        <w:instrText xml:space="preserve"> PAGEREF _Toc3571 \h </w:instrText>
      </w:r>
      <w:r>
        <w:rPr>
          <w:color w:val="auto"/>
        </w:rPr>
        <w:fldChar w:fldCharType="separate"/>
      </w:r>
      <w:r>
        <w:rPr>
          <w:color w:val="auto"/>
        </w:rPr>
        <w:t>28</w:t>
      </w:r>
      <w:r>
        <w:rPr>
          <w:color w:val="auto"/>
        </w:rPr>
        <w:fldChar w:fldCharType="end"/>
      </w:r>
      <w:r>
        <w:rPr>
          <w:rFonts w:hint="eastAsia" w:ascii="宋体" w:hAnsi="宋体" w:eastAsia="宋体" w:cs="宋体"/>
          <w:color w:val="auto"/>
          <w:highlight w:val="none"/>
        </w:rPr>
        <w:fldChar w:fldCharType="end"/>
      </w:r>
    </w:p>
    <w:p w14:paraId="3F3208C7">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_Toc16062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2.评审组织工作</w:t>
      </w:r>
      <w:r>
        <w:rPr>
          <w:color w:val="auto"/>
        </w:rPr>
        <w:tab/>
      </w:r>
      <w:r>
        <w:rPr>
          <w:color w:val="auto"/>
        </w:rPr>
        <w:fldChar w:fldCharType="begin"/>
      </w:r>
      <w:r>
        <w:rPr>
          <w:color w:val="auto"/>
        </w:rPr>
        <w:instrText xml:space="preserve"> PAGEREF _Toc16062 \h </w:instrText>
      </w:r>
      <w:r>
        <w:rPr>
          <w:color w:val="auto"/>
        </w:rPr>
        <w:fldChar w:fldCharType="separate"/>
      </w:r>
      <w:r>
        <w:rPr>
          <w:color w:val="auto"/>
        </w:rPr>
        <w:t>28</w:t>
      </w:r>
      <w:r>
        <w:rPr>
          <w:color w:val="auto"/>
        </w:rPr>
        <w:fldChar w:fldCharType="end"/>
      </w:r>
      <w:r>
        <w:rPr>
          <w:rFonts w:hint="eastAsia" w:ascii="宋体" w:hAnsi="宋体" w:eastAsia="宋体" w:cs="宋体"/>
          <w:color w:val="auto"/>
          <w:highlight w:val="none"/>
        </w:rPr>
        <w:fldChar w:fldCharType="end"/>
      </w:r>
    </w:p>
    <w:p w14:paraId="6AC9AA32">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_Toc2845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3.评审方法及标准</w:t>
      </w:r>
      <w:r>
        <w:rPr>
          <w:color w:val="auto"/>
        </w:rPr>
        <w:tab/>
      </w:r>
      <w:r>
        <w:rPr>
          <w:color w:val="auto"/>
        </w:rPr>
        <w:fldChar w:fldCharType="begin"/>
      </w:r>
      <w:r>
        <w:rPr>
          <w:color w:val="auto"/>
        </w:rPr>
        <w:instrText xml:space="preserve"> PAGEREF _Toc2845 \h </w:instrText>
      </w:r>
      <w:r>
        <w:rPr>
          <w:color w:val="auto"/>
        </w:rPr>
        <w:fldChar w:fldCharType="separate"/>
      </w:r>
      <w:r>
        <w:rPr>
          <w:color w:val="auto"/>
        </w:rPr>
        <w:t>28</w:t>
      </w:r>
      <w:r>
        <w:rPr>
          <w:color w:val="auto"/>
        </w:rPr>
        <w:fldChar w:fldCharType="end"/>
      </w:r>
      <w:r>
        <w:rPr>
          <w:rFonts w:hint="eastAsia" w:ascii="宋体" w:hAnsi="宋体" w:eastAsia="宋体" w:cs="宋体"/>
          <w:color w:val="auto"/>
          <w:highlight w:val="none"/>
        </w:rPr>
        <w:fldChar w:fldCharType="end"/>
      </w:r>
    </w:p>
    <w:p w14:paraId="7385BD4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_Toc11184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4.低于投标成本报价竞争行为的确认</w:t>
      </w:r>
      <w:r>
        <w:rPr>
          <w:color w:val="auto"/>
        </w:rPr>
        <w:tab/>
      </w:r>
      <w:r>
        <w:rPr>
          <w:color w:val="auto"/>
        </w:rPr>
        <w:fldChar w:fldCharType="begin"/>
      </w:r>
      <w:r>
        <w:rPr>
          <w:color w:val="auto"/>
        </w:rPr>
        <w:instrText xml:space="preserve"> PAGEREF _Toc11184 \h </w:instrText>
      </w:r>
      <w:r>
        <w:rPr>
          <w:color w:val="auto"/>
        </w:rPr>
        <w:fldChar w:fldCharType="separate"/>
      </w:r>
      <w:r>
        <w:rPr>
          <w:color w:val="auto"/>
        </w:rPr>
        <w:t>28</w:t>
      </w:r>
      <w:r>
        <w:rPr>
          <w:color w:val="auto"/>
        </w:rPr>
        <w:fldChar w:fldCharType="end"/>
      </w:r>
      <w:r>
        <w:rPr>
          <w:rFonts w:hint="eastAsia" w:ascii="宋体" w:hAnsi="宋体" w:eastAsia="宋体" w:cs="宋体"/>
          <w:color w:val="auto"/>
          <w:highlight w:val="none"/>
        </w:rPr>
        <w:fldChar w:fldCharType="end"/>
      </w:r>
    </w:p>
    <w:p w14:paraId="52EFDBD1">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_Toc4884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rPr>
        <w:t>5.本方法所称的“以下”、“以上”均含本数。</w:t>
      </w:r>
      <w:r>
        <w:rPr>
          <w:color w:val="auto"/>
        </w:rPr>
        <w:tab/>
      </w:r>
      <w:r>
        <w:rPr>
          <w:color w:val="auto"/>
        </w:rPr>
        <w:fldChar w:fldCharType="begin"/>
      </w:r>
      <w:r>
        <w:rPr>
          <w:color w:val="auto"/>
        </w:rPr>
        <w:instrText xml:space="preserve"> PAGEREF _Toc4884 \h </w:instrText>
      </w:r>
      <w:r>
        <w:rPr>
          <w:color w:val="auto"/>
        </w:rPr>
        <w:fldChar w:fldCharType="separate"/>
      </w:r>
      <w:r>
        <w:rPr>
          <w:color w:val="auto"/>
        </w:rPr>
        <w:t>29</w:t>
      </w:r>
      <w:r>
        <w:rPr>
          <w:color w:val="auto"/>
        </w:rPr>
        <w:fldChar w:fldCharType="end"/>
      </w:r>
      <w:r>
        <w:rPr>
          <w:rFonts w:hint="eastAsia" w:ascii="宋体" w:hAnsi="宋体" w:eastAsia="宋体" w:cs="宋体"/>
          <w:color w:val="auto"/>
          <w:highlight w:val="none"/>
        </w:rPr>
        <w:fldChar w:fldCharType="end"/>
      </w:r>
    </w:p>
    <w:p w14:paraId="69C3779D">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_Toc13054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附件2-4：计算机辅助评标办法</w:t>
      </w:r>
      <w:r>
        <w:rPr>
          <w:color w:val="auto"/>
        </w:rPr>
        <w:tab/>
      </w:r>
      <w:r>
        <w:rPr>
          <w:color w:val="auto"/>
        </w:rPr>
        <w:fldChar w:fldCharType="begin"/>
      </w:r>
      <w:r>
        <w:rPr>
          <w:color w:val="auto"/>
        </w:rPr>
        <w:instrText xml:space="preserve"> PAGEREF _Toc13054 \h </w:instrText>
      </w:r>
      <w:r>
        <w:rPr>
          <w:color w:val="auto"/>
        </w:rPr>
        <w:fldChar w:fldCharType="separate"/>
      </w:r>
      <w:r>
        <w:rPr>
          <w:color w:val="auto"/>
        </w:rPr>
        <w:t>29</w:t>
      </w:r>
      <w:r>
        <w:rPr>
          <w:color w:val="auto"/>
        </w:rPr>
        <w:fldChar w:fldCharType="end"/>
      </w:r>
      <w:r>
        <w:rPr>
          <w:rFonts w:hint="eastAsia" w:ascii="宋体" w:hAnsi="宋体" w:eastAsia="宋体" w:cs="宋体"/>
          <w:color w:val="auto"/>
          <w:highlight w:val="none"/>
        </w:rPr>
        <w:fldChar w:fldCharType="end"/>
      </w:r>
    </w:p>
    <w:p w14:paraId="36B0C0A8">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_Toc31915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第三章  评标办法（经评审的最低投标价法）</w:t>
      </w:r>
      <w:r>
        <w:rPr>
          <w:color w:val="auto"/>
        </w:rPr>
        <w:tab/>
      </w:r>
      <w:r>
        <w:rPr>
          <w:color w:val="auto"/>
        </w:rPr>
        <w:fldChar w:fldCharType="begin"/>
      </w:r>
      <w:r>
        <w:rPr>
          <w:color w:val="auto"/>
        </w:rPr>
        <w:instrText xml:space="preserve"> PAGEREF _Toc31915 \h </w:instrText>
      </w:r>
      <w:r>
        <w:rPr>
          <w:color w:val="auto"/>
        </w:rPr>
        <w:fldChar w:fldCharType="separate"/>
      </w:r>
      <w:r>
        <w:rPr>
          <w:color w:val="auto"/>
        </w:rPr>
        <w:t>31</w:t>
      </w:r>
      <w:r>
        <w:rPr>
          <w:color w:val="auto"/>
        </w:rPr>
        <w:fldChar w:fldCharType="end"/>
      </w:r>
      <w:r>
        <w:rPr>
          <w:rFonts w:hint="eastAsia" w:ascii="宋体" w:hAnsi="宋体" w:eastAsia="宋体" w:cs="宋体"/>
          <w:color w:val="auto"/>
          <w:highlight w:val="none"/>
        </w:rPr>
        <w:fldChar w:fldCharType="end"/>
      </w:r>
    </w:p>
    <w:p w14:paraId="17A111B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_Toc24662 </w:instrText>
      </w:r>
      <w:r>
        <w:rPr>
          <w:rFonts w:hint="eastAsia" w:ascii="宋体" w:hAnsi="宋体" w:eastAsia="宋体" w:cs="宋体"/>
          <w:color w:val="auto"/>
          <w:highlight w:val="none"/>
        </w:rPr>
        <w:fldChar w:fldCharType="separate"/>
      </w:r>
      <w:r>
        <w:rPr>
          <w:rFonts w:hint="eastAsia" w:ascii="宋体" w:hAnsi="宋体" w:eastAsia="宋体" w:cs="宋体"/>
          <w:bCs/>
          <w:color w:val="auto"/>
          <w:highlight w:val="none"/>
        </w:rPr>
        <w:t>评标办法（经评审的最低投标价法）</w:t>
      </w:r>
      <w:r>
        <w:rPr>
          <w:color w:val="auto"/>
        </w:rPr>
        <w:tab/>
      </w:r>
      <w:r>
        <w:rPr>
          <w:color w:val="auto"/>
        </w:rPr>
        <w:fldChar w:fldCharType="begin"/>
      </w:r>
      <w:r>
        <w:rPr>
          <w:color w:val="auto"/>
        </w:rPr>
        <w:instrText xml:space="preserve"> PAGEREF _Toc24662 \h </w:instrText>
      </w:r>
      <w:r>
        <w:rPr>
          <w:color w:val="auto"/>
        </w:rPr>
        <w:fldChar w:fldCharType="separate"/>
      </w:r>
      <w:r>
        <w:rPr>
          <w:color w:val="auto"/>
        </w:rPr>
        <w:t>38</w:t>
      </w:r>
      <w:r>
        <w:rPr>
          <w:color w:val="auto"/>
        </w:rPr>
        <w:fldChar w:fldCharType="end"/>
      </w:r>
      <w:r>
        <w:rPr>
          <w:rFonts w:hint="eastAsia" w:ascii="宋体" w:hAnsi="宋体" w:eastAsia="宋体" w:cs="宋体"/>
          <w:color w:val="auto"/>
          <w:highlight w:val="none"/>
        </w:rPr>
        <w:fldChar w:fldCharType="end"/>
      </w:r>
    </w:p>
    <w:p w14:paraId="391C256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_Toc31859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1.评审标准</w:t>
      </w:r>
      <w:r>
        <w:rPr>
          <w:color w:val="auto"/>
        </w:rPr>
        <w:tab/>
      </w:r>
      <w:r>
        <w:rPr>
          <w:color w:val="auto"/>
        </w:rPr>
        <w:fldChar w:fldCharType="begin"/>
      </w:r>
      <w:r>
        <w:rPr>
          <w:color w:val="auto"/>
        </w:rPr>
        <w:instrText xml:space="preserve"> PAGEREF _Toc31859 \h </w:instrText>
      </w:r>
      <w:r>
        <w:rPr>
          <w:color w:val="auto"/>
        </w:rPr>
        <w:fldChar w:fldCharType="separate"/>
      </w:r>
      <w:r>
        <w:rPr>
          <w:color w:val="auto"/>
        </w:rPr>
        <w:t>38</w:t>
      </w:r>
      <w:r>
        <w:rPr>
          <w:color w:val="auto"/>
        </w:rPr>
        <w:fldChar w:fldCharType="end"/>
      </w:r>
      <w:r>
        <w:rPr>
          <w:rFonts w:hint="eastAsia" w:ascii="宋体" w:hAnsi="宋体" w:eastAsia="宋体" w:cs="宋体"/>
          <w:color w:val="auto"/>
          <w:highlight w:val="none"/>
        </w:rPr>
        <w:fldChar w:fldCharType="end"/>
      </w:r>
    </w:p>
    <w:p w14:paraId="300E0D9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_Toc30513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2.评审程序</w:t>
      </w:r>
      <w:r>
        <w:rPr>
          <w:rFonts w:hint="eastAsia" w:ascii="宋体" w:hAnsi="宋体" w:eastAsia="宋体" w:cs="宋体"/>
          <w:bCs w:val="0"/>
          <w:color w:val="auto"/>
          <w:highlight w:val="none"/>
          <w:lang w:val="en-US" w:eastAsia="zh-CN"/>
        </w:rPr>
        <w:t>及澄清</w:t>
      </w:r>
      <w:r>
        <w:rPr>
          <w:color w:val="auto"/>
        </w:rPr>
        <w:tab/>
      </w:r>
      <w:r>
        <w:rPr>
          <w:color w:val="auto"/>
        </w:rPr>
        <w:fldChar w:fldCharType="begin"/>
      </w:r>
      <w:r>
        <w:rPr>
          <w:color w:val="auto"/>
        </w:rPr>
        <w:instrText xml:space="preserve"> PAGEREF _Toc30513 \h </w:instrText>
      </w:r>
      <w:r>
        <w:rPr>
          <w:color w:val="auto"/>
        </w:rPr>
        <w:fldChar w:fldCharType="separate"/>
      </w:r>
      <w:r>
        <w:rPr>
          <w:color w:val="auto"/>
        </w:rPr>
        <w:t>38</w:t>
      </w:r>
      <w:r>
        <w:rPr>
          <w:color w:val="auto"/>
        </w:rPr>
        <w:fldChar w:fldCharType="end"/>
      </w:r>
      <w:r>
        <w:rPr>
          <w:rFonts w:hint="eastAsia" w:ascii="宋体" w:hAnsi="宋体" w:eastAsia="宋体" w:cs="宋体"/>
          <w:color w:val="auto"/>
          <w:highlight w:val="none"/>
        </w:rPr>
        <w:fldChar w:fldCharType="end"/>
      </w:r>
    </w:p>
    <w:p w14:paraId="7E6C5C0B">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_Toc27753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8"/>
          <w:highlight w:val="none"/>
        </w:rPr>
        <w:t>3.评标结果</w:t>
      </w:r>
      <w:r>
        <w:rPr>
          <w:color w:val="auto"/>
        </w:rPr>
        <w:tab/>
      </w:r>
      <w:r>
        <w:rPr>
          <w:color w:val="auto"/>
        </w:rPr>
        <w:fldChar w:fldCharType="begin"/>
      </w:r>
      <w:r>
        <w:rPr>
          <w:color w:val="auto"/>
        </w:rPr>
        <w:instrText xml:space="preserve"> PAGEREF _Toc27753 \h </w:instrText>
      </w:r>
      <w:r>
        <w:rPr>
          <w:color w:val="auto"/>
        </w:rPr>
        <w:fldChar w:fldCharType="separate"/>
      </w:r>
      <w:r>
        <w:rPr>
          <w:color w:val="auto"/>
        </w:rPr>
        <w:t>38</w:t>
      </w:r>
      <w:r>
        <w:rPr>
          <w:color w:val="auto"/>
        </w:rPr>
        <w:fldChar w:fldCharType="end"/>
      </w:r>
      <w:r>
        <w:rPr>
          <w:rFonts w:hint="eastAsia" w:ascii="宋体" w:hAnsi="宋体" w:eastAsia="宋体" w:cs="宋体"/>
          <w:color w:val="auto"/>
          <w:highlight w:val="none"/>
        </w:rPr>
        <w:fldChar w:fldCharType="end"/>
      </w:r>
    </w:p>
    <w:p w14:paraId="485C9D2E">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_Toc9310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1.基本程序</w:t>
      </w:r>
      <w:r>
        <w:rPr>
          <w:color w:val="auto"/>
        </w:rPr>
        <w:tab/>
      </w:r>
      <w:r>
        <w:rPr>
          <w:color w:val="auto"/>
        </w:rPr>
        <w:fldChar w:fldCharType="begin"/>
      </w:r>
      <w:r>
        <w:rPr>
          <w:color w:val="auto"/>
        </w:rPr>
        <w:instrText xml:space="preserve"> PAGEREF _Toc9310 \h </w:instrText>
      </w:r>
      <w:r>
        <w:rPr>
          <w:color w:val="auto"/>
        </w:rPr>
        <w:fldChar w:fldCharType="separate"/>
      </w:r>
      <w:r>
        <w:rPr>
          <w:color w:val="auto"/>
        </w:rPr>
        <w:t>39</w:t>
      </w:r>
      <w:r>
        <w:rPr>
          <w:color w:val="auto"/>
        </w:rPr>
        <w:fldChar w:fldCharType="end"/>
      </w:r>
      <w:r>
        <w:rPr>
          <w:rFonts w:hint="eastAsia" w:ascii="宋体" w:hAnsi="宋体" w:eastAsia="宋体" w:cs="宋体"/>
          <w:color w:val="auto"/>
          <w:highlight w:val="none"/>
        </w:rPr>
        <w:fldChar w:fldCharType="end"/>
      </w:r>
    </w:p>
    <w:p w14:paraId="332FC077">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_Toc7642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2.评标准备</w:t>
      </w:r>
      <w:r>
        <w:rPr>
          <w:color w:val="auto"/>
        </w:rPr>
        <w:tab/>
      </w:r>
      <w:r>
        <w:rPr>
          <w:color w:val="auto"/>
        </w:rPr>
        <w:fldChar w:fldCharType="begin"/>
      </w:r>
      <w:r>
        <w:rPr>
          <w:color w:val="auto"/>
        </w:rPr>
        <w:instrText xml:space="preserve"> PAGEREF _Toc7642 \h </w:instrText>
      </w:r>
      <w:r>
        <w:rPr>
          <w:color w:val="auto"/>
        </w:rPr>
        <w:fldChar w:fldCharType="separate"/>
      </w:r>
      <w:r>
        <w:rPr>
          <w:color w:val="auto"/>
        </w:rPr>
        <w:t>39</w:t>
      </w:r>
      <w:r>
        <w:rPr>
          <w:color w:val="auto"/>
        </w:rPr>
        <w:fldChar w:fldCharType="end"/>
      </w:r>
      <w:r>
        <w:rPr>
          <w:rFonts w:hint="eastAsia" w:ascii="宋体" w:hAnsi="宋体" w:eastAsia="宋体" w:cs="宋体"/>
          <w:color w:val="auto"/>
          <w:highlight w:val="none"/>
        </w:rPr>
        <w:fldChar w:fldCharType="end"/>
      </w:r>
    </w:p>
    <w:p w14:paraId="126FE09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_Toc21700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szCs w:val="24"/>
          <w:highlight w:val="none"/>
          <w:lang w:val="en-US" w:eastAsia="zh-CN"/>
        </w:rPr>
        <w:t>施工组织设计</w:t>
      </w:r>
      <w:r>
        <w:rPr>
          <w:rFonts w:hint="eastAsia" w:ascii="宋体" w:hAnsi="宋体" w:eastAsia="宋体" w:cs="宋体"/>
          <w:color w:val="auto"/>
          <w:szCs w:val="24"/>
          <w:highlight w:val="none"/>
        </w:rPr>
        <w:t>评审</w:t>
      </w:r>
      <w:r>
        <w:rPr>
          <w:color w:val="auto"/>
        </w:rPr>
        <w:tab/>
      </w:r>
      <w:r>
        <w:rPr>
          <w:color w:val="auto"/>
        </w:rPr>
        <w:fldChar w:fldCharType="begin"/>
      </w:r>
      <w:r>
        <w:rPr>
          <w:color w:val="auto"/>
        </w:rPr>
        <w:instrText xml:space="preserve"> PAGEREF _Toc21700 \h </w:instrText>
      </w:r>
      <w:r>
        <w:rPr>
          <w:color w:val="auto"/>
        </w:rPr>
        <w:fldChar w:fldCharType="separate"/>
      </w:r>
      <w:r>
        <w:rPr>
          <w:color w:val="auto"/>
        </w:rPr>
        <w:t>40</w:t>
      </w:r>
      <w:r>
        <w:rPr>
          <w:color w:val="auto"/>
        </w:rPr>
        <w:fldChar w:fldCharType="end"/>
      </w:r>
      <w:r>
        <w:rPr>
          <w:rFonts w:hint="eastAsia" w:ascii="宋体" w:hAnsi="宋体" w:eastAsia="宋体" w:cs="宋体"/>
          <w:color w:val="auto"/>
          <w:highlight w:val="none"/>
        </w:rPr>
        <w:fldChar w:fldCharType="end"/>
      </w:r>
    </w:p>
    <w:p w14:paraId="2DC3197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_Toc28569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形式、资格、响应性评审。</w:t>
      </w:r>
      <w:r>
        <w:rPr>
          <w:color w:val="auto"/>
        </w:rPr>
        <w:tab/>
      </w:r>
      <w:r>
        <w:rPr>
          <w:color w:val="auto"/>
        </w:rPr>
        <w:fldChar w:fldCharType="begin"/>
      </w:r>
      <w:r>
        <w:rPr>
          <w:color w:val="auto"/>
        </w:rPr>
        <w:instrText xml:space="preserve"> PAGEREF _Toc28569 \h </w:instrText>
      </w:r>
      <w:r>
        <w:rPr>
          <w:color w:val="auto"/>
        </w:rPr>
        <w:fldChar w:fldCharType="separate"/>
      </w:r>
      <w:r>
        <w:rPr>
          <w:color w:val="auto"/>
        </w:rPr>
        <w:t>40</w:t>
      </w:r>
      <w:r>
        <w:rPr>
          <w:color w:val="auto"/>
        </w:rPr>
        <w:fldChar w:fldCharType="end"/>
      </w:r>
      <w:r>
        <w:rPr>
          <w:rFonts w:hint="eastAsia" w:ascii="宋体" w:hAnsi="宋体" w:eastAsia="宋体" w:cs="宋体"/>
          <w:color w:val="auto"/>
          <w:highlight w:val="none"/>
        </w:rPr>
        <w:fldChar w:fldCharType="end"/>
      </w:r>
    </w:p>
    <w:p w14:paraId="11F53400">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_Toc9039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业绩及信用</w:t>
      </w:r>
      <w:r>
        <w:rPr>
          <w:rFonts w:hint="eastAsia" w:ascii="宋体" w:hAnsi="宋体" w:eastAsia="宋体" w:cs="宋体"/>
          <w:color w:val="auto"/>
          <w:highlight w:val="none"/>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投标报价评审</w:t>
      </w:r>
      <w:r>
        <w:rPr>
          <w:color w:val="auto"/>
        </w:rPr>
        <w:tab/>
      </w:r>
      <w:r>
        <w:rPr>
          <w:color w:val="auto"/>
        </w:rPr>
        <w:fldChar w:fldCharType="begin"/>
      </w:r>
      <w:r>
        <w:rPr>
          <w:color w:val="auto"/>
        </w:rPr>
        <w:instrText xml:space="preserve"> PAGEREF _Toc9039 \h </w:instrText>
      </w:r>
      <w:r>
        <w:rPr>
          <w:color w:val="auto"/>
        </w:rPr>
        <w:fldChar w:fldCharType="separate"/>
      </w:r>
      <w:r>
        <w:rPr>
          <w:color w:val="auto"/>
        </w:rPr>
        <w:t>41</w:t>
      </w:r>
      <w:r>
        <w:rPr>
          <w:color w:val="auto"/>
        </w:rPr>
        <w:fldChar w:fldCharType="end"/>
      </w:r>
      <w:r>
        <w:rPr>
          <w:rFonts w:hint="eastAsia" w:ascii="宋体" w:hAnsi="宋体" w:eastAsia="宋体" w:cs="宋体"/>
          <w:color w:val="auto"/>
          <w:highlight w:val="none"/>
        </w:rPr>
        <w:fldChar w:fldCharType="end"/>
      </w:r>
    </w:p>
    <w:p w14:paraId="4797D79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_Toc29375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.中标人的确定</w:t>
      </w:r>
      <w:r>
        <w:rPr>
          <w:color w:val="auto"/>
        </w:rPr>
        <w:tab/>
      </w:r>
      <w:r>
        <w:rPr>
          <w:color w:val="auto"/>
        </w:rPr>
        <w:fldChar w:fldCharType="begin"/>
      </w:r>
      <w:r>
        <w:rPr>
          <w:color w:val="auto"/>
        </w:rPr>
        <w:instrText xml:space="preserve"> PAGEREF _Toc29375 \h </w:instrText>
      </w:r>
      <w:r>
        <w:rPr>
          <w:color w:val="auto"/>
        </w:rPr>
        <w:fldChar w:fldCharType="separate"/>
      </w:r>
      <w:r>
        <w:rPr>
          <w:color w:val="auto"/>
        </w:rPr>
        <w:t>42</w:t>
      </w:r>
      <w:r>
        <w:rPr>
          <w:color w:val="auto"/>
        </w:rPr>
        <w:fldChar w:fldCharType="end"/>
      </w:r>
      <w:r>
        <w:rPr>
          <w:rFonts w:hint="eastAsia" w:ascii="宋体" w:hAnsi="宋体" w:eastAsia="宋体" w:cs="宋体"/>
          <w:color w:val="auto"/>
          <w:highlight w:val="none"/>
        </w:rPr>
        <w:fldChar w:fldCharType="end"/>
      </w:r>
    </w:p>
    <w:p w14:paraId="6EC5C757">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_Toc7971 </w:instrText>
      </w:r>
      <w:r>
        <w:rPr>
          <w:rFonts w:hint="eastAsia" w:ascii="宋体" w:hAnsi="宋体" w:eastAsia="宋体" w:cs="宋体"/>
          <w:color w:val="auto"/>
          <w:highlight w:val="none"/>
        </w:rPr>
        <w:fldChar w:fldCharType="separate"/>
      </w: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．特殊情况的处置程序</w:t>
      </w:r>
      <w:r>
        <w:rPr>
          <w:color w:val="auto"/>
        </w:rPr>
        <w:tab/>
      </w:r>
      <w:r>
        <w:rPr>
          <w:color w:val="auto"/>
        </w:rPr>
        <w:fldChar w:fldCharType="begin"/>
      </w:r>
      <w:r>
        <w:rPr>
          <w:color w:val="auto"/>
        </w:rPr>
        <w:instrText xml:space="preserve"> PAGEREF _Toc7971 \h </w:instrText>
      </w:r>
      <w:r>
        <w:rPr>
          <w:color w:val="auto"/>
        </w:rPr>
        <w:fldChar w:fldCharType="separate"/>
      </w:r>
      <w:r>
        <w:rPr>
          <w:color w:val="auto"/>
        </w:rPr>
        <w:t>43</w:t>
      </w:r>
      <w:r>
        <w:rPr>
          <w:color w:val="auto"/>
        </w:rPr>
        <w:fldChar w:fldCharType="end"/>
      </w:r>
      <w:r>
        <w:rPr>
          <w:rFonts w:hint="eastAsia" w:ascii="宋体" w:hAnsi="宋体" w:eastAsia="宋体" w:cs="宋体"/>
          <w:color w:val="auto"/>
          <w:highlight w:val="none"/>
        </w:rPr>
        <w:fldChar w:fldCharType="end"/>
      </w:r>
    </w:p>
    <w:p w14:paraId="28EFE79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_Toc31372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.补充条款</w:t>
      </w:r>
      <w:r>
        <w:rPr>
          <w:color w:val="auto"/>
        </w:rPr>
        <w:tab/>
      </w:r>
      <w:r>
        <w:rPr>
          <w:color w:val="auto"/>
        </w:rPr>
        <w:fldChar w:fldCharType="begin"/>
      </w:r>
      <w:r>
        <w:rPr>
          <w:color w:val="auto"/>
        </w:rPr>
        <w:instrText xml:space="preserve"> PAGEREF _Toc31372 \h </w:instrText>
      </w:r>
      <w:r>
        <w:rPr>
          <w:color w:val="auto"/>
        </w:rPr>
        <w:fldChar w:fldCharType="separate"/>
      </w:r>
      <w:r>
        <w:rPr>
          <w:color w:val="auto"/>
        </w:rPr>
        <w:t>43</w:t>
      </w:r>
      <w:r>
        <w:rPr>
          <w:color w:val="auto"/>
        </w:rPr>
        <w:fldChar w:fldCharType="end"/>
      </w:r>
      <w:r>
        <w:rPr>
          <w:rFonts w:hint="eastAsia" w:ascii="宋体" w:hAnsi="宋体" w:eastAsia="宋体" w:cs="宋体"/>
          <w:color w:val="auto"/>
          <w:highlight w:val="none"/>
        </w:rPr>
        <w:fldChar w:fldCharType="end"/>
      </w:r>
    </w:p>
    <w:p w14:paraId="793D78C8">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_Toc29832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第四章  合同条款及格式</w:t>
      </w:r>
      <w:r>
        <w:rPr>
          <w:color w:val="auto"/>
        </w:rPr>
        <w:tab/>
      </w:r>
      <w:r>
        <w:rPr>
          <w:color w:val="auto"/>
        </w:rPr>
        <w:fldChar w:fldCharType="begin"/>
      </w:r>
      <w:r>
        <w:rPr>
          <w:color w:val="auto"/>
        </w:rPr>
        <w:instrText xml:space="preserve"> PAGEREF _Toc29832 \h </w:instrText>
      </w:r>
      <w:r>
        <w:rPr>
          <w:color w:val="auto"/>
        </w:rPr>
        <w:fldChar w:fldCharType="separate"/>
      </w:r>
      <w:r>
        <w:rPr>
          <w:color w:val="auto"/>
        </w:rPr>
        <w:t>44</w:t>
      </w:r>
      <w:r>
        <w:rPr>
          <w:color w:val="auto"/>
        </w:rPr>
        <w:fldChar w:fldCharType="end"/>
      </w:r>
      <w:r>
        <w:rPr>
          <w:rFonts w:hint="eastAsia" w:ascii="宋体" w:hAnsi="宋体" w:eastAsia="宋体" w:cs="宋体"/>
          <w:color w:val="auto"/>
          <w:highlight w:val="none"/>
        </w:rPr>
        <w:fldChar w:fldCharType="end"/>
      </w:r>
    </w:p>
    <w:p w14:paraId="0E958DC1">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_Toc6172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第一节 合同协议书</w:t>
      </w:r>
      <w:r>
        <w:rPr>
          <w:color w:val="auto"/>
        </w:rPr>
        <w:tab/>
      </w:r>
      <w:r>
        <w:rPr>
          <w:color w:val="auto"/>
        </w:rPr>
        <w:fldChar w:fldCharType="begin"/>
      </w:r>
      <w:r>
        <w:rPr>
          <w:color w:val="auto"/>
        </w:rPr>
        <w:instrText xml:space="preserve"> PAGEREF _Toc6172 \h </w:instrText>
      </w:r>
      <w:r>
        <w:rPr>
          <w:color w:val="auto"/>
        </w:rPr>
        <w:fldChar w:fldCharType="separate"/>
      </w:r>
      <w:r>
        <w:rPr>
          <w:color w:val="auto"/>
        </w:rPr>
        <w:t>44</w:t>
      </w:r>
      <w:r>
        <w:rPr>
          <w:color w:val="auto"/>
        </w:rPr>
        <w:fldChar w:fldCharType="end"/>
      </w:r>
      <w:r>
        <w:rPr>
          <w:rFonts w:hint="eastAsia" w:ascii="宋体" w:hAnsi="宋体" w:eastAsia="宋体" w:cs="宋体"/>
          <w:color w:val="auto"/>
          <w:highlight w:val="none"/>
        </w:rPr>
        <w:fldChar w:fldCharType="end"/>
      </w:r>
    </w:p>
    <w:p w14:paraId="115458CB">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_Toc5686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第二节 通用合同条款</w:t>
      </w:r>
      <w:r>
        <w:rPr>
          <w:color w:val="auto"/>
        </w:rPr>
        <w:tab/>
      </w:r>
      <w:r>
        <w:rPr>
          <w:color w:val="auto"/>
        </w:rPr>
        <w:fldChar w:fldCharType="begin"/>
      </w:r>
      <w:r>
        <w:rPr>
          <w:color w:val="auto"/>
        </w:rPr>
        <w:instrText xml:space="preserve"> PAGEREF _Toc5686 \h </w:instrText>
      </w:r>
      <w:r>
        <w:rPr>
          <w:color w:val="auto"/>
        </w:rPr>
        <w:fldChar w:fldCharType="separate"/>
      </w:r>
      <w:r>
        <w:rPr>
          <w:color w:val="auto"/>
        </w:rPr>
        <w:t>47</w:t>
      </w:r>
      <w:r>
        <w:rPr>
          <w:color w:val="auto"/>
        </w:rPr>
        <w:fldChar w:fldCharType="end"/>
      </w:r>
      <w:r>
        <w:rPr>
          <w:rFonts w:hint="eastAsia" w:ascii="宋体" w:hAnsi="宋体" w:eastAsia="宋体" w:cs="宋体"/>
          <w:color w:val="auto"/>
          <w:highlight w:val="none"/>
        </w:rPr>
        <w:fldChar w:fldCharType="end"/>
      </w:r>
    </w:p>
    <w:p w14:paraId="08C7F53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_Toc18709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第三节 专用合同条款</w:t>
      </w:r>
      <w:r>
        <w:rPr>
          <w:color w:val="auto"/>
        </w:rPr>
        <w:tab/>
      </w:r>
      <w:r>
        <w:rPr>
          <w:color w:val="auto"/>
        </w:rPr>
        <w:fldChar w:fldCharType="begin"/>
      </w:r>
      <w:r>
        <w:rPr>
          <w:color w:val="auto"/>
        </w:rPr>
        <w:instrText xml:space="preserve"> PAGEREF _Toc18709 \h </w:instrText>
      </w:r>
      <w:r>
        <w:rPr>
          <w:color w:val="auto"/>
        </w:rPr>
        <w:fldChar w:fldCharType="separate"/>
      </w:r>
      <w:r>
        <w:rPr>
          <w:color w:val="auto"/>
        </w:rPr>
        <w:t>47</w:t>
      </w:r>
      <w:r>
        <w:rPr>
          <w:color w:val="auto"/>
        </w:rPr>
        <w:fldChar w:fldCharType="end"/>
      </w:r>
      <w:r>
        <w:rPr>
          <w:rFonts w:hint="eastAsia" w:ascii="宋体" w:hAnsi="宋体" w:eastAsia="宋体" w:cs="宋体"/>
          <w:color w:val="auto"/>
          <w:highlight w:val="none"/>
        </w:rPr>
        <w:fldChar w:fldCharType="end"/>
      </w:r>
    </w:p>
    <w:p w14:paraId="678F47F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_Toc12767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第五章  工程量清单</w:t>
      </w:r>
      <w:r>
        <w:rPr>
          <w:color w:val="auto"/>
        </w:rPr>
        <w:tab/>
      </w:r>
      <w:r>
        <w:rPr>
          <w:color w:val="auto"/>
        </w:rPr>
        <w:fldChar w:fldCharType="begin"/>
      </w:r>
      <w:r>
        <w:rPr>
          <w:color w:val="auto"/>
        </w:rPr>
        <w:instrText xml:space="preserve"> PAGEREF _Toc12767 \h </w:instrText>
      </w:r>
      <w:r>
        <w:rPr>
          <w:color w:val="auto"/>
        </w:rPr>
        <w:fldChar w:fldCharType="separate"/>
      </w:r>
      <w:r>
        <w:rPr>
          <w:color w:val="auto"/>
        </w:rPr>
        <w:t>65</w:t>
      </w:r>
      <w:r>
        <w:rPr>
          <w:color w:val="auto"/>
        </w:rPr>
        <w:fldChar w:fldCharType="end"/>
      </w:r>
      <w:r>
        <w:rPr>
          <w:rFonts w:hint="eastAsia" w:ascii="宋体" w:hAnsi="宋体" w:eastAsia="宋体" w:cs="宋体"/>
          <w:color w:val="auto"/>
          <w:highlight w:val="none"/>
        </w:rPr>
        <w:fldChar w:fldCharType="end"/>
      </w:r>
    </w:p>
    <w:p w14:paraId="0D87D281">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_Toc6267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1.工程量清单说明</w:t>
      </w:r>
      <w:r>
        <w:rPr>
          <w:color w:val="auto"/>
        </w:rPr>
        <w:tab/>
      </w:r>
      <w:r>
        <w:rPr>
          <w:color w:val="auto"/>
        </w:rPr>
        <w:fldChar w:fldCharType="begin"/>
      </w:r>
      <w:r>
        <w:rPr>
          <w:color w:val="auto"/>
        </w:rPr>
        <w:instrText xml:space="preserve"> PAGEREF _Toc6267 \h </w:instrText>
      </w:r>
      <w:r>
        <w:rPr>
          <w:color w:val="auto"/>
        </w:rPr>
        <w:fldChar w:fldCharType="separate"/>
      </w:r>
      <w:r>
        <w:rPr>
          <w:color w:val="auto"/>
        </w:rPr>
        <w:t>65</w:t>
      </w:r>
      <w:r>
        <w:rPr>
          <w:color w:val="auto"/>
        </w:rPr>
        <w:fldChar w:fldCharType="end"/>
      </w:r>
      <w:r>
        <w:rPr>
          <w:rFonts w:hint="eastAsia" w:ascii="宋体" w:hAnsi="宋体" w:eastAsia="宋体" w:cs="宋体"/>
          <w:color w:val="auto"/>
          <w:highlight w:val="none"/>
        </w:rPr>
        <w:fldChar w:fldCharType="end"/>
      </w:r>
    </w:p>
    <w:p w14:paraId="68CD1DB6">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_Toc21035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2.最高投标限价编制说明及公布内容</w:t>
      </w:r>
      <w:r>
        <w:rPr>
          <w:color w:val="auto"/>
        </w:rPr>
        <w:tab/>
      </w:r>
      <w:r>
        <w:rPr>
          <w:color w:val="auto"/>
        </w:rPr>
        <w:fldChar w:fldCharType="begin"/>
      </w:r>
      <w:r>
        <w:rPr>
          <w:color w:val="auto"/>
        </w:rPr>
        <w:instrText xml:space="preserve"> PAGEREF _Toc21035 \h </w:instrText>
      </w:r>
      <w:r>
        <w:rPr>
          <w:color w:val="auto"/>
        </w:rPr>
        <w:fldChar w:fldCharType="separate"/>
      </w:r>
      <w:r>
        <w:rPr>
          <w:color w:val="auto"/>
        </w:rPr>
        <w:t>65</w:t>
      </w:r>
      <w:r>
        <w:rPr>
          <w:color w:val="auto"/>
        </w:rPr>
        <w:fldChar w:fldCharType="end"/>
      </w:r>
      <w:r>
        <w:rPr>
          <w:rFonts w:hint="eastAsia" w:ascii="宋体" w:hAnsi="宋体" w:eastAsia="宋体" w:cs="宋体"/>
          <w:color w:val="auto"/>
          <w:highlight w:val="none"/>
        </w:rPr>
        <w:fldChar w:fldCharType="end"/>
      </w:r>
    </w:p>
    <w:p w14:paraId="1A41BEB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_Toc11071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3.投标报价说明</w:t>
      </w:r>
      <w:r>
        <w:rPr>
          <w:color w:val="auto"/>
        </w:rPr>
        <w:tab/>
      </w:r>
      <w:r>
        <w:rPr>
          <w:color w:val="auto"/>
        </w:rPr>
        <w:fldChar w:fldCharType="begin"/>
      </w:r>
      <w:r>
        <w:rPr>
          <w:color w:val="auto"/>
        </w:rPr>
        <w:instrText xml:space="preserve"> PAGEREF _Toc11071 \h </w:instrText>
      </w:r>
      <w:r>
        <w:rPr>
          <w:color w:val="auto"/>
        </w:rPr>
        <w:fldChar w:fldCharType="separate"/>
      </w:r>
      <w:r>
        <w:rPr>
          <w:color w:val="auto"/>
        </w:rPr>
        <w:t>66</w:t>
      </w:r>
      <w:r>
        <w:rPr>
          <w:color w:val="auto"/>
        </w:rPr>
        <w:fldChar w:fldCharType="end"/>
      </w:r>
      <w:r>
        <w:rPr>
          <w:rFonts w:hint="eastAsia" w:ascii="宋体" w:hAnsi="宋体" w:eastAsia="宋体" w:cs="宋体"/>
          <w:color w:val="auto"/>
          <w:highlight w:val="none"/>
        </w:rPr>
        <w:fldChar w:fldCharType="end"/>
      </w:r>
    </w:p>
    <w:p w14:paraId="551ADEF5">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_Toc24969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4.其他说明</w:t>
      </w:r>
      <w:r>
        <w:rPr>
          <w:color w:val="auto"/>
        </w:rPr>
        <w:tab/>
      </w:r>
      <w:r>
        <w:rPr>
          <w:color w:val="auto"/>
        </w:rPr>
        <w:fldChar w:fldCharType="begin"/>
      </w:r>
      <w:r>
        <w:rPr>
          <w:color w:val="auto"/>
        </w:rPr>
        <w:instrText xml:space="preserve"> PAGEREF _Toc24969 \h </w:instrText>
      </w:r>
      <w:r>
        <w:rPr>
          <w:color w:val="auto"/>
        </w:rPr>
        <w:fldChar w:fldCharType="separate"/>
      </w:r>
      <w:r>
        <w:rPr>
          <w:color w:val="auto"/>
        </w:rPr>
        <w:t>68</w:t>
      </w:r>
      <w:r>
        <w:rPr>
          <w:color w:val="auto"/>
        </w:rPr>
        <w:fldChar w:fldCharType="end"/>
      </w:r>
      <w:r>
        <w:rPr>
          <w:rFonts w:hint="eastAsia" w:ascii="宋体" w:hAnsi="宋体" w:eastAsia="宋体" w:cs="宋体"/>
          <w:color w:val="auto"/>
          <w:highlight w:val="none"/>
        </w:rPr>
        <w:fldChar w:fldCharType="end"/>
      </w:r>
    </w:p>
    <w:p w14:paraId="1B76A62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_Toc15952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5.工程量清单（另册）</w:t>
      </w:r>
      <w:r>
        <w:rPr>
          <w:color w:val="auto"/>
        </w:rPr>
        <w:tab/>
      </w:r>
      <w:r>
        <w:rPr>
          <w:color w:val="auto"/>
        </w:rPr>
        <w:fldChar w:fldCharType="begin"/>
      </w:r>
      <w:r>
        <w:rPr>
          <w:color w:val="auto"/>
        </w:rPr>
        <w:instrText xml:space="preserve"> PAGEREF _Toc15952 \h </w:instrText>
      </w:r>
      <w:r>
        <w:rPr>
          <w:color w:val="auto"/>
        </w:rPr>
        <w:fldChar w:fldCharType="separate"/>
      </w:r>
      <w:r>
        <w:rPr>
          <w:color w:val="auto"/>
        </w:rPr>
        <w:t>68</w:t>
      </w:r>
      <w:r>
        <w:rPr>
          <w:color w:val="auto"/>
        </w:rPr>
        <w:fldChar w:fldCharType="end"/>
      </w:r>
      <w:r>
        <w:rPr>
          <w:rFonts w:hint="eastAsia" w:ascii="宋体" w:hAnsi="宋体" w:eastAsia="宋体" w:cs="宋体"/>
          <w:color w:val="auto"/>
          <w:highlight w:val="none"/>
        </w:rPr>
        <w:fldChar w:fldCharType="end"/>
      </w:r>
    </w:p>
    <w:p w14:paraId="191EB3E1">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_Toc7287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44"/>
          <w:highlight w:val="none"/>
        </w:rPr>
        <w:t>第  二  卷</w:t>
      </w:r>
      <w:r>
        <w:rPr>
          <w:color w:val="auto"/>
        </w:rPr>
        <w:tab/>
      </w:r>
      <w:r>
        <w:rPr>
          <w:color w:val="auto"/>
        </w:rPr>
        <w:fldChar w:fldCharType="begin"/>
      </w:r>
      <w:r>
        <w:rPr>
          <w:color w:val="auto"/>
        </w:rPr>
        <w:instrText xml:space="preserve"> PAGEREF _Toc7287 \h </w:instrText>
      </w:r>
      <w:r>
        <w:rPr>
          <w:color w:val="auto"/>
        </w:rPr>
        <w:fldChar w:fldCharType="separate"/>
      </w:r>
      <w:r>
        <w:rPr>
          <w:color w:val="auto"/>
        </w:rPr>
        <w:t>69</w:t>
      </w:r>
      <w:r>
        <w:rPr>
          <w:color w:val="auto"/>
        </w:rPr>
        <w:fldChar w:fldCharType="end"/>
      </w:r>
      <w:r>
        <w:rPr>
          <w:rFonts w:hint="eastAsia" w:ascii="宋体" w:hAnsi="宋体" w:eastAsia="宋体" w:cs="宋体"/>
          <w:color w:val="auto"/>
          <w:highlight w:val="none"/>
        </w:rPr>
        <w:fldChar w:fldCharType="end"/>
      </w:r>
    </w:p>
    <w:p w14:paraId="43D8F882">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_Toc2619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第六章  图  纸</w:t>
      </w:r>
      <w:r>
        <w:rPr>
          <w:rFonts w:hint="eastAsia" w:ascii="宋体" w:hAnsi="宋体" w:eastAsia="宋体" w:cs="宋体"/>
          <w:color w:val="auto"/>
          <w:highlight w:val="none"/>
        </w:rPr>
        <w:t>（另册）</w:t>
      </w:r>
      <w:r>
        <w:rPr>
          <w:color w:val="auto"/>
        </w:rPr>
        <w:tab/>
      </w:r>
      <w:r>
        <w:rPr>
          <w:color w:val="auto"/>
        </w:rPr>
        <w:fldChar w:fldCharType="begin"/>
      </w:r>
      <w:r>
        <w:rPr>
          <w:color w:val="auto"/>
        </w:rPr>
        <w:instrText xml:space="preserve"> PAGEREF _Toc2619 \h </w:instrText>
      </w:r>
      <w:r>
        <w:rPr>
          <w:color w:val="auto"/>
        </w:rPr>
        <w:fldChar w:fldCharType="separate"/>
      </w:r>
      <w:r>
        <w:rPr>
          <w:color w:val="auto"/>
        </w:rPr>
        <w:t>69</w:t>
      </w:r>
      <w:r>
        <w:rPr>
          <w:color w:val="auto"/>
        </w:rPr>
        <w:fldChar w:fldCharType="end"/>
      </w:r>
      <w:r>
        <w:rPr>
          <w:rFonts w:hint="eastAsia" w:ascii="宋体" w:hAnsi="宋体" w:eastAsia="宋体" w:cs="宋体"/>
          <w:color w:val="auto"/>
          <w:highlight w:val="none"/>
        </w:rPr>
        <w:fldChar w:fldCharType="end"/>
      </w:r>
    </w:p>
    <w:p w14:paraId="36CCD287">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_Toc14138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 图纸目录</w:t>
      </w:r>
      <w:r>
        <w:rPr>
          <w:color w:val="auto"/>
        </w:rPr>
        <w:tab/>
      </w:r>
      <w:r>
        <w:rPr>
          <w:color w:val="auto"/>
        </w:rPr>
        <w:fldChar w:fldCharType="begin"/>
      </w:r>
      <w:r>
        <w:rPr>
          <w:color w:val="auto"/>
        </w:rPr>
        <w:instrText xml:space="preserve"> PAGEREF _Toc14138 \h </w:instrText>
      </w:r>
      <w:r>
        <w:rPr>
          <w:color w:val="auto"/>
        </w:rPr>
        <w:fldChar w:fldCharType="separate"/>
      </w:r>
      <w:r>
        <w:rPr>
          <w:color w:val="auto"/>
        </w:rPr>
        <w:t>69</w:t>
      </w:r>
      <w:r>
        <w:rPr>
          <w:color w:val="auto"/>
        </w:rPr>
        <w:fldChar w:fldCharType="end"/>
      </w:r>
      <w:r>
        <w:rPr>
          <w:rFonts w:hint="eastAsia" w:ascii="宋体" w:hAnsi="宋体" w:eastAsia="宋体" w:cs="宋体"/>
          <w:color w:val="auto"/>
          <w:highlight w:val="none"/>
        </w:rPr>
        <w:fldChar w:fldCharType="end"/>
      </w:r>
    </w:p>
    <w:p w14:paraId="38787983">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_Toc24716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44"/>
          <w:highlight w:val="none"/>
        </w:rPr>
        <w:t>第  三  卷</w:t>
      </w:r>
      <w:r>
        <w:rPr>
          <w:color w:val="auto"/>
        </w:rPr>
        <w:tab/>
      </w:r>
      <w:r>
        <w:rPr>
          <w:color w:val="auto"/>
        </w:rPr>
        <w:fldChar w:fldCharType="begin"/>
      </w:r>
      <w:r>
        <w:rPr>
          <w:color w:val="auto"/>
        </w:rPr>
        <w:instrText xml:space="preserve"> PAGEREF _Toc24716 \h </w:instrText>
      </w:r>
      <w:r>
        <w:rPr>
          <w:color w:val="auto"/>
        </w:rPr>
        <w:fldChar w:fldCharType="separate"/>
      </w:r>
      <w:r>
        <w:rPr>
          <w:color w:val="auto"/>
        </w:rPr>
        <w:t>70</w:t>
      </w:r>
      <w:r>
        <w:rPr>
          <w:color w:val="auto"/>
        </w:rPr>
        <w:fldChar w:fldCharType="end"/>
      </w:r>
      <w:r>
        <w:rPr>
          <w:rFonts w:hint="eastAsia" w:ascii="宋体" w:hAnsi="宋体" w:eastAsia="宋体" w:cs="宋体"/>
          <w:color w:val="auto"/>
          <w:highlight w:val="none"/>
        </w:rPr>
        <w:fldChar w:fldCharType="end"/>
      </w:r>
    </w:p>
    <w:p w14:paraId="78F98675">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_Toc23063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第七章  技术标准和要求</w:t>
      </w:r>
      <w:r>
        <w:rPr>
          <w:color w:val="auto"/>
        </w:rPr>
        <w:tab/>
      </w:r>
      <w:r>
        <w:rPr>
          <w:color w:val="auto"/>
        </w:rPr>
        <w:fldChar w:fldCharType="begin"/>
      </w:r>
      <w:r>
        <w:rPr>
          <w:color w:val="auto"/>
        </w:rPr>
        <w:instrText xml:space="preserve"> PAGEREF _Toc23063 \h </w:instrText>
      </w:r>
      <w:r>
        <w:rPr>
          <w:color w:val="auto"/>
        </w:rPr>
        <w:fldChar w:fldCharType="separate"/>
      </w:r>
      <w:r>
        <w:rPr>
          <w:color w:val="auto"/>
        </w:rPr>
        <w:t>70</w:t>
      </w:r>
      <w:r>
        <w:rPr>
          <w:color w:val="auto"/>
        </w:rPr>
        <w:fldChar w:fldCharType="end"/>
      </w:r>
      <w:r>
        <w:rPr>
          <w:rFonts w:hint="eastAsia" w:ascii="宋体" w:hAnsi="宋体" w:eastAsia="宋体" w:cs="宋体"/>
          <w:color w:val="auto"/>
          <w:highlight w:val="none"/>
        </w:rPr>
        <w:fldChar w:fldCharType="end"/>
      </w:r>
    </w:p>
    <w:p w14:paraId="1D758F72">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_Toc14748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第一节 一般要求</w:t>
      </w:r>
      <w:r>
        <w:rPr>
          <w:color w:val="auto"/>
        </w:rPr>
        <w:tab/>
      </w:r>
      <w:r>
        <w:rPr>
          <w:color w:val="auto"/>
        </w:rPr>
        <w:fldChar w:fldCharType="begin"/>
      </w:r>
      <w:r>
        <w:rPr>
          <w:color w:val="auto"/>
        </w:rPr>
        <w:instrText xml:space="preserve"> PAGEREF _Toc14748 \h </w:instrText>
      </w:r>
      <w:r>
        <w:rPr>
          <w:color w:val="auto"/>
        </w:rPr>
        <w:fldChar w:fldCharType="separate"/>
      </w:r>
      <w:r>
        <w:rPr>
          <w:color w:val="auto"/>
        </w:rPr>
        <w:t>70</w:t>
      </w:r>
      <w:r>
        <w:rPr>
          <w:color w:val="auto"/>
        </w:rPr>
        <w:fldChar w:fldCharType="end"/>
      </w:r>
      <w:r>
        <w:rPr>
          <w:rFonts w:hint="eastAsia" w:ascii="宋体" w:hAnsi="宋体" w:eastAsia="宋体" w:cs="宋体"/>
          <w:color w:val="auto"/>
          <w:highlight w:val="none"/>
        </w:rPr>
        <w:fldChar w:fldCharType="end"/>
      </w:r>
    </w:p>
    <w:p w14:paraId="78364CD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_Toc28812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第二节  特殊技术标准和要求</w:t>
      </w:r>
      <w:r>
        <w:rPr>
          <w:color w:val="auto"/>
        </w:rPr>
        <w:tab/>
      </w:r>
      <w:r>
        <w:rPr>
          <w:color w:val="auto"/>
        </w:rPr>
        <w:fldChar w:fldCharType="begin"/>
      </w:r>
      <w:r>
        <w:rPr>
          <w:color w:val="auto"/>
        </w:rPr>
        <w:instrText xml:space="preserve"> PAGEREF _Toc28812 \h </w:instrText>
      </w:r>
      <w:r>
        <w:rPr>
          <w:color w:val="auto"/>
        </w:rPr>
        <w:fldChar w:fldCharType="separate"/>
      </w:r>
      <w:r>
        <w:rPr>
          <w:color w:val="auto"/>
        </w:rPr>
        <w:t>88</w:t>
      </w:r>
      <w:r>
        <w:rPr>
          <w:color w:val="auto"/>
        </w:rPr>
        <w:fldChar w:fldCharType="end"/>
      </w:r>
      <w:r>
        <w:rPr>
          <w:rFonts w:hint="eastAsia" w:ascii="宋体" w:hAnsi="宋体" w:eastAsia="宋体" w:cs="宋体"/>
          <w:color w:val="auto"/>
          <w:highlight w:val="none"/>
        </w:rPr>
        <w:fldChar w:fldCharType="end"/>
      </w:r>
    </w:p>
    <w:p w14:paraId="7150A2C6">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_Toc23919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第三节  适用的国家、行业以及地方规范、标准和规程</w:t>
      </w:r>
      <w:r>
        <w:rPr>
          <w:color w:val="auto"/>
        </w:rPr>
        <w:tab/>
      </w:r>
      <w:r>
        <w:rPr>
          <w:color w:val="auto"/>
        </w:rPr>
        <w:fldChar w:fldCharType="begin"/>
      </w:r>
      <w:r>
        <w:rPr>
          <w:color w:val="auto"/>
        </w:rPr>
        <w:instrText xml:space="preserve"> PAGEREF _Toc23919 \h </w:instrText>
      </w:r>
      <w:r>
        <w:rPr>
          <w:color w:val="auto"/>
        </w:rPr>
        <w:fldChar w:fldCharType="separate"/>
      </w:r>
      <w:r>
        <w:rPr>
          <w:color w:val="auto"/>
        </w:rPr>
        <w:t>89</w:t>
      </w:r>
      <w:r>
        <w:rPr>
          <w:color w:val="auto"/>
        </w:rPr>
        <w:fldChar w:fldCharType="end"/>
      </w:r>
      <w:r>
        <w:rPr>
          <w:rFonts w:hint="eastAsia" w:ascii="宋体" w:hAnsi="宋体" w:eastAsia="宋体" w:cs="宋体"/>
          <w:color w:val="auto"/>
          <w:highlight w:val="none"/>
        </w:rPr>
        <w:fldChar w:fldCharType="end"/>
      </w:r>
    </w:p>
    <w:p w14:paraId="1F377782">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_Toc27420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附件7-1：施工现场现状平面图</w:t>
      </w:r>
      <w:r>
        <w:rPr>
          <w:color w:val="auto"/>
        </w:rPr>
        <w:tab/>
      </w:r>
      <w:r>
        <w:rPr>
          <w:color w:val="auto"/>
        </w:rPr>
        <w:fldChar w:fldCharType="begin"/>
      </w:r>
      <w:r>
        <w:rPr>
          <w:color w:val="auto"/>
        </w:rPr>
        <w:instrText xml:space="preserve"> PAGEREF _Toc27420 \h </w:instrText>
      </w:r>
      <w:r>
        <w:rPr>
          <w:color w:val="auto"/>
        </w:rPr>
        <w:fldChar w:fldCharType="separate"/>
      </w:r>
      <w:r>
        <w:rPr>
          <w:color w:val="auto"/>
        </w:rPr>
        <w:t>89</w:t>
      </w:r>
      <w:r>
        <w:rPr>
          <w:color w:val="auto"/>
        </w:rPr>
        <w:fldChar w:fldCharType="end"/>
      </w:r>
      <w:r>
        <w:rPr>
          <w:rFonts w:hint="eastAsia" w:ascii="宋体" w:hAnsi="宋体" w:eastAsia="宋体" w:cs="宋体"/>
          <w:color w:val="auto"/>
          <w:highlight w:val="none"/>
        </w:rPr>
        <w:fldChar w:fldCharType="end"/>
      </w:r>
    </w:p>
    <w:p w14:paraId="192F2795">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_Toc26823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44"/>
          <w:highlight w:val="none"/>
        </w:rPr>
        <w:t>第  四  卷</w:t>
      </w:r>
      <w:r>
        <w:rPr>
          <w:color w:val="auto"/>
        </w:rPr>
        <w:tab/>
      </w:r>
      <w:r>
        <w:rPr>
          <w:color w:val="auto"/>
        </w:rPr>
        <w:fldChar w:fldCharType="begin"/>
      </w:r>
      <w:r>
        <w:rPr>
          <w:color w:val="auto"/>
        </w:rPr>
        <w:instrText xml:space="preserve"> PAGEREF _Toc26823 \h </w:instrText>
      </w:r>
      <w:r>
        <w:rPr>
          <w:color w:val="auto"/>
        </w:rPr>
        <w:fldChar w:fldCharType="separate"/>
      </w:r>
      <w:r>
        <w:rPr>
          <w:color w:val="auto"/>
        </w:rPr>
        <w:t>90</w:t>
      </w:r>
      <w:r>
        <w:rPr>
          <w:color w:val="auto"/>
        </w:rPr>
        <w:fldChar w:fldCharType="end"/>
      </w:r>
      <w:r>
        <w:rPr>
          <w:rFonts w:hint="eastAsia" w:ascii="宋体" w:hAnsi="宋体" w:eastAsia="宋体" w:cs="宋体"/>
          <w:color w:val="auto"/>
          <w:highlight w:val="none"/>
        </w:rPr>
        <w:fldChar w:fldCharType="end"/>
      </w:r>
    </w:p>
    <w:p w14:paraId="48ED2EC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_Toc20645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第八章  投标文件格式</w:t>
      </w:r>
      <w:r>
        <w:rPr>
          <w:color w:val="auto"/>
        </w:rPr>
        <w:tab/>
      </w:r>
      <w:r>
        <w:rPr>
          <w:color w:val="auto"/>
        </w:rPr>
        <w:fldChar w:fldCharType="begin"/>
      </w:r>
      <w:r>
        <w:rPr>
          <w:color w:val="auto"/>
        </w:rPr>
        <w:instrText xml:space="preserve"> PAGEREF _Toc20645 \h </w:instrText>
      </w:r>
      <w:r>
        <w:rPr>
          <w:color w:val="auto"/>
        </w:rPr>
        <w:fldChar w:fldCharType="separate"/>
      </w:r>
      <w:r>
        <w:rPr>
          <w:color w:val="auto"/>
        </w:rPr>
        <w:t>90</w:t>
      </w:r>
      <w:r>
        <w:rPr>
          <w:color w:val="auto"/>
        </w:rPr>
        <w:fldChar w:fldCharType="end"/>
      </w:r>
      <w:r>
        <w:rPr>
          <w:rFonts w:hint="eastAsia" w:ascii="宋体" w:hAnsi="宋体" w:eastAsia="宋体" w:cs="宋体"/>
          <w:color w:val="auto"/>
          <w:highlight w:val="none"/>
        </w:rPr>
        <w:fldChar w:fldCharType="end"/>
      </w:r>
    </w:p>
    <w:p w14:paraId="3CD34149">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_Toc14238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第一节 投标函</w:t>
      </w:r>
      <w:r>
        <w:rPr>
          <w:rFonts w:hint="eastAsia" w:ascii="宋体" w:hAnsi="宋体" w:eastAsia="宋体" w:cs="宋体"/>
          <w:color w:val="auto"/>
          <w:highlight w:val="none"/>
          <w:lang w:val="en-US" w:eastAsia="zh-CN"/>
        </w:rPr>
        <w:t>及附录</w:t>
      </w:r>
      <w:r>
        <w:rPr>
          <w:rFonts w:hint="eastAsia" w:ascii="宋体" w:hAnsi="宋体" w:eastAsia="宋体" w:cs="宋体"/>
          <w:color w:val="auto"/>
          <w:highlight w:val="none"/>
        </w:rPr>
        <w:t>格式</w:t>
      </w:r>
      <w:r>
        <w:rPr>
          <w:color w:val="auto"/>
        </w:rPr>
        <w:tab/>
      </w:r>
      <w:r>
        <w:rPr>
          <w:color w:val="auto"/>
        </w:rPr>
        <w:fldChar w:fldCharType="begin"/>
      </w:r>
      <w:r>
        <w:rPr>
          <w:color w:val="auto"/>
        </w:rPr>
        <w:instrText xml:space="preserve"> PAGEREF _Toc14238 \h </w:instrText>
      </w:r>
      <w:r>
        <w:rPr>
          <w:color w:val="auto"/>
        </w:rPr>
        <w:fldChar w:fldCharType="separate"/>
      </w:r>
      <w:r>
        <w:rPr>
          <w:color w:val="auto"/>
        </w:rPr>
        <w:t>90</w:t>
      </w:r>
      <w:r>
        <w:rPr>
          <w:color w:val="auto"/>
        </w:rPr>
        <w:fldChar w:fldCharType="end"/>
      </w:r>
      <w:r>
        <w:rPr>
          <w:rFonts w:hint="eastAsia" w:ascii="宋体" w:hAnsi="宋体" w:eastAsia="宋体" w:cs="宋体"/>
          <w:color w:val="auto"/>
          <w:highlight w:val="none"/>
        </w:rPr>
        <w:fldChar w:fldCharType="end"/>
      </w:r>
    </w:p>
    <w:p w14:paraId="42269EBF">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_Toc9062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6"/>
          <w:highlight w:val="none"/>
        </w:rPr>
        <w:t>目    录</w:t>
      </w:r>
      <w:r>
        <w:rPr>
          <w:color w:val="auto"/>
        </w:rPr>
        <w:tab/>
      </w:r>
      <w:r>
        <w:rPr>
          <w:color w:val="auto"/>
        </w:rPr>
        <w:fldChar w:fldCharType="begin"/>
      </w:r>
      <w:r>
        <w:rPr>
          <w:color w:val="auto"/>
        </w:rPr>
        <w:instrText xml:space="preserve"> PAGEREF _Toc9062 \h </w:instrText>
      </w:r>
      <w:r>
        <w:rPr>
          <w:color w:val="auto"/>
        </w:rPr>
        <w:fldChar w:fldCharType="separate"/>
      </w:r>
      <w:r>
        <w:rPr>
          <w:color w:val="auto"/>
        </w:rPr>
        <w:t>92</w:t>
      </w:r>
      <w:r>
        <w:rPr>
          <w:color w:val="auto"/>
        </w:rPr>
        <w:fldChar w:fldCharType="end"/>
      </w:r>
      <w:r>
        <w:rPr>
          <w:rFonts w:hint="eastAsia" w:ascii="宋体" w:hAnsi="宋体" w:eastAsia="宋体" w:cs="宋体"/>
          <w:color w:val="auto"/>
          <w:highlight w:val="none"/>
        </w:rPr>
        <w:fldChar w:fldCharType="end"/>
      </w:r>
    </w:p>
    <w:p w14:paraId="381473A2">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_Toc18596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1.投标函及投标函附录</w:t>
      </w:r>
      <w:r>
        <w:rPr>
          <w:color w:val="auto"/>
        </w:rPr>
        <w:tab/>
      </w:r>
      <w:r>
        <w:rPr>
          <w:color w:val="auto"/>
        </w:rPr>
        <w:fldChar w:fldCharType="begin"/>
      </w:r>
      <w:r>
        <w:rPr>
          <w:color w:val="auto"/>
        </w:rPr>
        <w:instrText xml:space="preserve"> PAGEREF _Toc18596 \h </w:instrText>
      </w:r>
      <w:r>
        <w:rPr>
          <w:color w:val="auto"/>
        </w:rPr>
        <w:fldChar w:fldCharType="separate"/>
      </w:r>
      <w:r>
        <w:rPr>
          <w:color w:val="auto"/>
        </w:rPr>
        <w:t>93</w:t>
      </w:r>
      <w:r>
        <w:rPr>
          <w:color w:val="auto"/>
        </w:rPr>
        <w:fldChar w:fldCharType="end"/>
      </w:r>
      <w:r>
        <w:rPr>
          <w:rFonts w:hint="eastAsia" w:ascii="宋体" w:hAnsi="宋体" w:eastAsia="宋体" w:cs="宋体"/>
          <w:color w:val="auto"/>
          <w:highlight w:val="none"/>
        </w:rPr>
        <w:fldChar w:fldCharType="end"/>
      </w:r>
    </w:p>
    <w:p w14:paraId="4E661FF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_Toc32532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2.法定代表人身份证明</w:t>
      </w:r>
      <w:r>
        <w:rPr>
          <w:color w:val="auto"/>
        </w:rPr>
        <w:tab/>
      </w:r>
      <w:r>
        <w:rPr>
          <w:color w:val="auto"/>
        </w:rPr>
        <w:fldChar w:fldCharType="begin"/>
      </w:r>
      <w:r>
        <w:rPr>
          <w:color w:val="auto"/>
        </w:rPr>
        <w:instrText xml:space="preserve"> PAGEREF _Toc32532 \h </w:instrText>
      </w:r>
      <w:r>
        <w:rPr>
          <w:color w:val="auto"/>
        </w:rPr>
        <w:fldChar w:fldCharType="separate"/>
      </w:r>
      <w:r>
        <w:rPr>
          <w:color w:val="auto"/>
        </w:rPr>
        <w:t>95</w:t>
      </w:r>
      <w:r>
        <w:rPr>
          <w:color w:val="auto"/>
        </w:rPr>
        <w:fldChar w:fldCharType="end"/>
      </w:r>
      <w:r>
        <w:rPr>
          <w:rFonts w:hint="eastAsia" w:ascii="宋体" w:hAnsi="宋体" w:eastAsia="宋体" w:cs="宋体"/>
          <w:color w:val="auto"/>
          <w:highlight w:val="none"/>
        </w:rPr>
        <w:fldChar w:fldCharType="end"/>
      </w:r>
    </w:p>
    <w:p w14:paraId="193013CE">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_Toc2421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3.授权委托书</w:t>
      </w:r>
      <w:r>
        <w:rPr>
          <w:color w:val="auto"/>
        </w:rPr>
        <w:tab/>
      </w:r>
      <w:r>
        <w:rPr>
          <w:color w:val="auto"/>
        </w:rPr>
        <w:fldChar w:fldCharType="begin"/>
      </w:r>
      <w:r>
        <w:rPr>
          <w:color w:val="auto"/>
        </w:rPr>
        <w:instrText xml:space="preserve"> PAGEREF _Toc2421 \h </w:instrText>
      </w:r>
      <w:r>
        <w:rPr>
          <w:color w:val="auto"/>
        </w:rPr>
        <w:fldChar w:fldCharType="separate"/>
      </w:r>
      <w:r>
        <w:rPr>
          <w:color w:val="auto"/>
        </w:rPr>
        <w:t>96</w:t>
      </w:r>
      <w:r>
        <w:rPr>
          <w:color w:val="auto"/>
        </w:rPr>
        <w:fldChar w:fldCharType="end"/>
      </w:r>
      <w:r>
        <w:rPr>
          <w:rFonts w:hint="eastAsia" w:ascii="宋体" w:hAnsi="宋体" w:eastAsia="宋体" w:cs="宋体"/>
          <w:color w:val="auto"/>
          <w:highlight w:val="none"/>
        </w:rPr>
        <w:fldChar w:fldCharType="end"/>
      </w:r>
    </w:p>
    <w:p w14:paraId="436A258D">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_Toc16560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4.</w:t>
      </w:r>
      <w:r>
        <w:rPr>
          <w:rFonts w:hint="eastAsia" w:ascii="宋体" w:hAnsi="宋体" w:eastAsia="宋体" w:cs="宋体"/>
          <w:bCs w:val="0"/>
          <w:color w:val="auto"/>
          <w:highlight w:val="none"/>
          <w:lang w:val="en-US" w:eastAsia="zh-CN"/>
        </w:rPr>
        <w:t>共同投标协议</w:t>
      </w:r>
      <w:r>
        <w:rPr>
          <w:rFonts w:hint="eastAsia" w:ascii="宋体" w:hAnsi="宋体" w:eastAsia="宋体" w:cs="宋体"/>
          <w:color w:val="auto"/>
          <w:highlight w:val="none"/>
        </w:rPr>
        <w:t>（</w:t>
      </w:r>
      <w:r>
        <w:rPr>
          <w:rFonts w:hint="eastAsia" w:ascii="宋体" w:hAnsi="宋体" w:eastAsia="宋体" w:cs="宋体"/>
          <w:color w:val="auto"/>
          <w:highlight w:val="none"/>
        </w:rPr>
        <w:sym w:font="Wingdings" w:char="006F"/>
      </w:r>
      <w:r>
        <w:rPr>
          <w:rFonts w:hint="eastAsia" w:ascii="宋体" w:hAnsi="宋体" w:eastAsia="宋体" w:cs="宋体"/>
          <w:color w:val="auto"/>
          <w:highlight w:val="none"/>
        </w:rPr>
        <w:t>联合体投标适用）</w:t>
      </w:r>
      <w:r>
        <w:rPr>
          <w:color w:val="auto"/>
        </w:rPr>
        <w:tab/>
      </w:r>
      <w:r>
        <w:rPr>
          <w:color w:val="auto"/>
        </w:rPr>
        <w:fldChar w:fldCharType="begin"/>
      </w:r>
      <w:r>
        <w:rPr>
          <w:color w:val="auto"/>
        </w:rPr>
        <w:instrText xml:space="preserve"> PAGEREF _Toc16560 \h </w:instrText>
      </w:r>
      <w:r>
        <w:rPr>
          <w:color w:val="auto"/>
        </w:rPr>
        <w:fldChar w:fldCharType="separate"/>
      </w:r>
      <w:r>
        <w:rPr>
          <w:color w:val="auto"/>
        </w:rPr>
        <w:t>97</w:t>
      </w:r>
      <w:r>
        <w:rPr>
          <w:color w:val="auto"/>
        </w:rPr>
        <w:fldChar w:fldCharType="end"/>
      </w:r>
      <w:r>
        <w:rPr>
          <w:rFonts w:hint="eastAsia" w:ascii="宋体" w:hAnsi="宋体" w:eastAsia="宋体" w:cs="宋体"/>
          <w:color w:val="auto"/>
          <w:highlight w:val="none"/>
        </w:rPr>
        <w:fldChar w:fldCharType="end"/>
      </w:r>
    </w:p>
    <w:p w14:paraId="6093405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_Toc14746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5.投标保证</w:t>
      </w:r>
      <w:r>
        <w:rPr>
          <w:color w:val="auto"/>
        </w:rPr>
        <w:tab/>
      </w:r>
      <w:r>
        <w:rPr>
          <w:color w:val="auto"/>
        </w:rPr>
        <w:fldChar w:fldCharType="begin"/>
      </w:r>
      <w:r>
        <w:rPr>
          <w:color w:val="auto"/>
        </w:rPr>
        <w:instrText xml:space="preserve"> PAGEREF _Toc14746 \h </w:instrText>
      </w:r>
      <w:r>
        <w:rPr>
          <w:color w:val="auto"/>
        </w:rPr>
        <w:fldChar w:fldCharType="separate"/>
      </w:r>
      <w:r>
        <w:rPr>
          <w:color w:val="auto"/>
        </w:rPr>
        <w:t>98</w:t>
      </w:r>
      <w:r>
        <w:rPr>
          <w:color w:val="auto"/>
        </w:rPr>
        <w:fldChar w:fldCharType="end"/>
      </w:r>
      <w:r>
        <w:rPr>
          <w:rFonts w:hint="eastAsia" w:ascii="宋体" w:hAnsi="宋体" w:eastAsia="宋体" w:cs="宋体"/>
          <w:color w:val="auto"/>
          <w:highlight w:val="none"/>
        </w:rPr>
        <w:fldChar w:fldCharType="end"/>
      </w:r>
    </w:p>
    <w:p w14:paraId="3D6D5414">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_Toc19965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6.项目管理机构</w:t>
      </w:r>
      <w:r>
        <w:rPr>
          <w:color w:val="auto"/>
        </w:rPr>
        <w:tab/>
      </w:r>
      <w:r>
        <w:rPr>
          <w:color w:val="auto"/>
        </w:rPr>
        <w:fldChar w:fldCharType="begin"/>
      </w:r>
      <w:r>
        <w:rPr>
          <w:color w:val="auto"/>
        </w:rPr>
        <w:instrText xml:space="preserve"> PAGEREF _Toc19965 \h </w:instrText>
      </w:r>
      <w:r>
        <w:rPr>
          <w:color w:val="auto"/>
        </w:rPr>
        <w:fldChar w:fldCharType="separate"/>
      </w:r>
      <w:r>
        <w:rPr>
          <w:color w:val="auto"/>
        </w:rPr>
        <w:t>102</w:t>
      </w:r>
      <w:r>
        <w:rPr>
          <w:color w:val="auto"/>
        </w:rPr>
        <w:fldChar w:fldCharType="end"/>
      </w:r>
      <w:r>
        <w:rPr>
          <w:rFonts w:hint="eastAsia" w:ascii="宋体" w:hAnsi="宋体" w:eastAsia="宋体" w:cs="宋体"/>
          <w:color w:val="auto"/>
          <w:highlight w:val="none"/>
        </w:rPr>
        <w:fldChar w:fldCharType="end"/>
      </w:r>
    </w:p>
    <w:p w14:paraId="57E98DA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_Toc17054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0"/>
          <w:highlight w:val="none"/>
        </w:rPr>
        <w:t>7.拟分包计划表</w:t>
      </w:r>
      <w:r>
        <w:rPr>
          <w:rFonts w:hint="eastAsia" w:ascii="宋体" w:hAnsi="宋体" w:eastAsia="宋体" w:cs="宋体"/>
          <w:bCs w:val="0"/>
          <w:color w:val="auto"/>
          <w:szCs w:val="30"/>
          <w:highlight w:val="none"/>
          <w:lang w:val="en-US" w:eastAsia="zh-CN"/>
        </w:rPr>
        <w:t xml:space="preserve"> </w:t>
      </w:r>
      <w:r>
        <w:rPr>
          <w:rFonts w:hint="eastAsia" w:ascii="宋体" w:hAnsi="宋体" w:eastAsia="宋体" w:cs="宋体"/>
          <w:bCs w:val="0"/>
          <w:color w:val="auto"/>
          <w:szCs w:val="30"/>
          <w:highlight w:val="none"/>
          <w:lang w:eastAsia="zh-CN"/>
        </w:rPr>
        <w:t>（如有）</w:t>
      </w:r>
      <w:r>
        <w:rPr>
          <w:color w:val="auto"/>
        </w:rPr>
        <w:tab/>
      </w:r>
      <w:r>
        <w:rPr>
          <w:color w:val="auto"/>
        </w:rPr>
        <w:fldChar w:fldCharType="begin"/>
      </w:r>
      <w:r>
        <w:rPr>
          <w:color w:val="auto"/>
        </w:rPr>
        <w:instrText xml:space="preserve"> PAGEREF _Toc17054 \h </w:instrText>
      </w:r>
      <w:r>
        <w:rPr>
          <w:color w:val="auto"/>
        </w:rPr>
        <w:fldChar w:fldCharType="separate"/>
      </w:r>
      <w:r>
        <w:rPr>
          <w:color w:val="auto"/>
        </w:rPr>
        <w:t>105</w:t>
      </w:r>
      <w:r>
        <w:rPr>
          <w:color w:val="auto"/>
        </w:rPr>
        <w:fldChar w:fldCharType="end"/>
      </w:r>
      <w:r>
        <w:rPr>
          <w:rFonts w:hint="eastAsia" w:ascii="宋体" w:hAnsi="宋体" w:eastAsia="宋体" w:cs="宋体"/>
          <w:color w:val="auto"/>
          <w:highlight w:val="none"/>
        </w:rPr>
        <w:fldChar w:fldCharType="end"/>
      </w:r>
    </w:p>
    <w:p w14:paraId="6C9E1DBA">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_Toc461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highlight w:val="none"/>
        </w:rPr>
        <w:t>9.企业资信及履约能力（业绩及信用）自评表</w:t>
      </w:r>
      <w:r>
        <w:rPr>
          <w:color w:val="auto"/>
        </w:rPr>
        <w:tab/>
      </w:r>
      <w:r>
        <w:rPr>
          <w:color w:val="auto"/>
        </w:rPr>
        <w:fldChar w:fldCharType="begin"/>
      </w:r>
      <w:r>
        <w:rPr>
          <w:color w:val="auto"/>
        </w:rPr>
        <w:instrText xml:space="preserve"> PAGEREF _Toc461 \h </w:instrText>
      </w:r>
      <w:r>
        <w:rPr>
          <w:color w:val="auto"/>
        </w:rPr>
        <w:fldChar w:fldCharType="separate"/>
      </w:r>
      <w:r>
        <w:rPr>
          <w:color w:val="auto"/>
        </w:rPr>
        <w:t>111</w:t>
      </w:r>
      <w:r>
        <w:rPr>
          <w:color w:val="auto"/>
        </w:rPr>
        <w:fldChar w:fldCharType="end"/>
      </w:r>
      <w:r>
        <w:rPr>
          <w:rFonts w:hint="eastAsia" w:ascii="宋体" w:hAnsi="宋体" w:eastAsia="宋体" w:cs="宋体"/>
          <w:color w:val="auto"/>
          <w:highlight w:val="none"/>
        </w:rPr>
        <w:fldChar w:fldCharType="end"/>
      </w:r>
    </w:p>
    <w:p w14:paraId="03A4743C">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_Toc5563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0"/>
          <w:highlight w:val="none"/>
        </w:rPr>
        <w:t>10.承 诺 书</w:t>
      </w:r>
      <w:r>
        <w:rPr>
          <w:color w:val="auto"/>
        </w:rPr>
        <w:tab/>
      </w:r>
      <w:r>
        <w:rPr>
          <w:color w:val="auto"/>
        </w:rPr>
        <w:fldChar w:fldCharType="begin"/>
      </w:r>
      <w:r>
        <w:rPr>
          <w:color w:val="auto"/>
        </w:rPr>
        <w:instrText xml:space="preserve"> PAGEREF _Toc5563 \h </w:instrText>
      </w:r>
      <w:r>
        <w:rPr>
          <w:color w:val="auto"/>
        </w:rPr>
        <w:fldChar w:fldCharType="separate"/>
      </w:r>
      <w:r>
        <w:rPr>
          <w:color w:val="auto"/>
        </w:rPr>
        <w:t>112</w:t>
      </w:r>
      <w:r>
        <w:rPr>
          <w:color w:val="auto"/>
        </w:rPr>
        <w:fldChar w:fldCharType="end"/>
      </w:r>
      <w:r>
        <w:rPr>
          <w:rFonts w:hint="eastAsia" w:ascii="宋体" w:hAnsi="宋体" w:eastAsia="宋体" w:cs="宋体"/>
          <w:color w:val="auto"/>
          <w:highlight w:val="none"/>
        </w:rPr>
        <w:fldChar w:fldCharType="end"/>
      </w:r>
    </w:p>
    <w:p w14:paraId="12F722DB">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_Toc11126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0"/>
          <w:highlight w:val="none"/>
        </w:rPr>
        <w:t>11.投标信息表</w:t>
      </w:r>
      <w:r>
        <w:rPr>
          <w:color w:val="auto"/>
        </w:rPr>
        <w:tab/>
      </w:r>
      <w:r>
        <w:rPr>
          <w:color w:val="auto"/>
        </w:rPr>
        <w:fldChar w:fldCharType="begin"/>
      </w:r>
      <w:r>
        <w:rPr>
          <w:color w:val="auto"/>
        </w:rPr>
        <w:instrText xml:space="preserve"> PAGEREF _Toc11126 \h </w:instrText>
      </w:r>
      <w:r>
        <w:rPr>
          <w:color w:val="auto"/>
        </w:rPr>
        <w:fldChar w:fldCharType="separate"/>
      </w:r>
      <w:r>
        <w:rPr>
          <w:color w:val="auto"/>
        </w:rPr>
        <w:t>113</w:t>
      </w:r>
      <w:r>
        <w:rPr>
          <w:color w:val="auto"/>
        </w:rPr>
        <w:fldChar w:fldCharType="end"/>
      </w:r>
      <w:r>
        <w:rPr>
          <w:rFonts w:hint="eastAsia" w:ascii="宋体" w:hAnsi="宋体" w:eastAsia="宋体" w:cs="宋体"/>
          <w:color w:val="auto"/>
          <w:highlight w:val="none"/>
        </w:rPr>
        <w:fldChar w:fldCharType="end"/>
      </w:r>
    </w:p>
    <w:p w14:paraId="7DAE86B1">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_Toc25571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0"/>
          <w:highlight w:val="none"/>
        </w:rPr>
        <w:t>12.其他</w:t>
      </w:r>
      <w:r>
        <w:rPr>
          <w:color w:val="auto"/>
        </w:rPr>
        <w:tab/>
      </w:r>
      <w:r>
        <w:rPr>
          <w:color w:val="auto"/>
        </w:rPr>
        <w:fldChar w:fldCharType="begin"/>
      </w:r>
      <w:r>
        <w:rPr>
          <w:color w:val="auto"/>
        </w:rPr>
        <w:instrText xml:space="preserve"> PAGEREF _Toc25571 \h </w:instrText>
      </w:r>
      <w:r>
        <w:rPr>
          <w:color w:val="auto"/>
        </w:rPr>
        <w:fldChar w:fldCharType="separate"/>
      </w:r>
      <w:r>
        <w:rPr>
          <w:color w:val="auto"/>
        </w:rPr>
        <w:t>114</w:t>
      </w:r>
      <w:r>
        <w:rPr>
          <w:color w:val="auto"/>
        </w:rPr>
        <w:fldChar w:fldCharType="end"/>
      </w:r>
      <w:r>
        <w:rPr>
          <w:rFonts w:hint="eastAsia" w:ascii="宋体" w:hAnsi="宋体" w:eastAsia="宋体" w:cs="宋体"/>
          <w:color w:val="auto"/>
          <w:highlight w:val="none"/>
        </w:rPr>
        <w:fldChar w:fldCharType="end"/>
      </w:r>
    </w:p>
    <w:p w14:paraId="7C57854B">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_Toc17200 </w:instrText>
      </w:r>
      <w:r>
        <w:rPr>
          <w:rFonts w:hint="eastAsia" w:ascii="宋体" w:hAnsi="宋体" w:eastAsia="宋体" w:cs="宋体"/>
          <w:color w:val="auto"/>
          <w:highlight w:val="none"/>
        </w:rPr>
        <w:fldChar w:fldCharType="separate"/>
      </w:r>
      <w:r>
        <w:rPr>
          <w:rFonts w:hint="eastAsia" w:ascii="宋体" w:hAnsi="宋体" w:eastAsia="宋体" w:cs="宋体"/>
          <w:color w:val="auto"/>
          <w:szCs w:val="32"/>
          <w:highlight w:val="none"/>
          <w:lang w:val="en-US" w:eastAsia="zh-CN"/>
        </w:rPr>
        <w:t>（1）、</w:t>
      </w:r>
      <w:r>
        <w:rPr>
          <w:rFonts w:hint="eastAsia" w:ascii="宋体" w:hAnsi="宋体" w:eastAsia="宋体" w:cs="宋体"/>
          <w:color w:val="auto"/>
          <w:szCs w:val="32"/>
          <w:highlight w:val="none"/>
        </w:rPr>
        <w:t>施工项目部关键岗位人员合格承诺书</w:t>
      </w:r>
      <w:r>
        <w:rPr>
          <w:color w:val="auto"/>
        </w:rPr>
        <w:tab/>
      </w:r>
      <w:r>
        <w:rPr>
          <w:color w:val="auto"/>
        </w:rPr>
        <w:fldChar w:fldCharType="begin"/>
      </w:r>
      <w:r>
        <w:rPr>
          <w:color w:val="auto"/>
        </w:rPr>
        <w:instrText xml:space="preserve"> PAGEREF _Toc17200 \h </w:instrText>
      </w:r>
      <w:r>
        <w:rPr>
          <w:color w:val="auto"/>
        </w:rPr>
        <w:fldChar w:fldCharType="separate"/>
      </w:r>
      <w:r>
        <w:rPr>
          <w:color w:val="auto"/>
        </w:rPr>
        <w:t>114</w:t>
      </w:r>
      <w:r>
        <w:rPr>
          <w:color w:val="auto"/>
        </w:rPr>
        <w:fldChar w:fldCharType="end"/>
      </w:r>
      <w:r>
        <w:rPr>
          <w:rFonts w:hint="eastAsia" w:ascii="宋体" w:hAnsi="宋体" w:eastAsia="宋体" w:cs="宋体"/>
          <w:color w:val="auto"/>
          <w:highlight w:val="none"/>
        </w:rPr>
        <w:fldChar w:fldCharType="end"/>
      </w:r>
    </w:p>
    <w:p w14:paraId="4E10F4E3">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_Toc27451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第二节 投标报价格式</w:t>
      </w:r>
      <w:r>
        <w:rPr>
          <w:color w:val="auto"/>
        </w:rPr>
        <w:tab/>
      </w:r>
      <w:r>
        <w:rPr>
          <w:color w:val="auto"/>
        </w:rPr>
        <w:fldChar w:fldCharType="begin"/>
      </w:r>
      <w:r>
        <w:rPr>
          <w:color w:val="auto"/>
        </w:rPr>
        <w:instrText xml:space="preserve"> PAGEREF _Toc27451 \h </w:instrText>
      </w:r>
      <w:r>
        <w:rPr>
          <w:color w:val="auto"/>
        </w:rPr>
        <w:fldChar w:fldCharType="separate"/>
      </w:r>
      <w:r>
        <w:rPr>
          <w:color w:val="auto"/>
        </w:rPr>
        <w:t>115</w:t>
      </w:r>
      <w:r>
        <w:rPr>
          <w:color w:val="auto"/>
        </w:rPr>
        <w:fldChar w:fldCharType="end"/>
      </w:r>
      <w:r>
        <w:rPr>
          <w:rFonts w:hint="eastAsia" w:ascii="宋体" w:hAnsi="宋体" w:eastAsia="宋体" w:cs="宋体"/>
          <w:color w:val="auto"/>
          <w:highlight w:val="none"/>
        </w:rPr>
        <w:fldChar w:fldCharType="end"/>
      </w:r>
    </w:p>
    <w:p w14:paraId="051C1756">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_Toc16944 </w:instrText>
      </w:r>
      <w:r>
        <w:rPr>
          <w:rFonts w:hint="eastAsia" w:ascii="宋体" w:hAnsi="宋体" w:eastAsia="宋体" w:cs="宋体"/>
          <w:color w:val="auto"/>
          <w:highlight w:val="none"/>
        </w:rPr>
        <w:fldChar w:fldCharType="separate"/>
      </w:r>
      <w:r>
        <w:rPr>
          <w:rFonts w:hint="eastAsia" w:ascii="宋体" w:hAnsi="宋体" w:eastAsia="宋体" w:cs="宋体"/>
          <w:bCs w:val="0"/>
          <w:color w:val="auto"/>
          <w:szCs w:val="36"/>
          <w:highlight w:val="none"/>
        </w:rPr>
        <w:t>目    录</w:t>
      </w:r>
      <w:r>
        <w:rPr>
          <w:color w:val="auto"/>
        </w:rPr>
        <w:tab/>
      </w:r>
      <w:r>
        <w:rPr>
          <w:color w:val="auto"/>
        </w:rPr>
        <w:fldChar w:fldCharType="begin"/>
      </w:r>
      <w:r>
        <w:rPr>
          <w:color w:val="auto"/>
        </w:rPr>
        <w:instrText xml:space="preserve"> PAGEREF _Toc16944 \h </w:instrText>
      </w:r>
      <w:r>
        <w:rPr>
          <w:color w:val="auto"/>
        </w:rPr>
        <w:fldChar w:fldCharType="separate"/>
      </w:r>
      <w:r>
        <w:rPr>
          <w:color w:val="auto"/>
        </w:rPr>
        <w:t>117</w:t>
      </w:r>
      <w:r>
        <w:rPr>
          <w:color w:val="auto"/>
        </w:rPr>
        <w:fldChar w:fldCharType="end"/>
      </w:r>
      <w:r>
        <w:rPr>
          <w:rFonts w:hint="eastAsia" w:ascii="宋体" w:hAnsi="宋体" w:eastAsia="宋体" w:cs="宋体"/>
          <w:color w:val="auto"/>
          <w:highlight w:val="none"/>
        </w:rPr>
        <w:fldChar w:fldCharType="end"/>
      </w:r>
    </w:p>
    <w:p w14:paraId="3CED7494">
      <w:pPr>
        <w:pStyle w:val="32"/>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_Toc11584 </w:instrText>
      </w:r>
      <w:r>
        <w:rPr>
          <w:rFonts w:hint="eastAsia" w:ascii="宋体" w:hAnsi="宋体" w:eastAsia="宋体" w:cs="宋体"/>
          <w:color w:val="auto"/>
          <w:highlight w:val="none"/>
        </w:rPr>
        <w:fldChar w:fldCharType="separate"/>
      </w:r>
      <w:r>
        <w:rPr>
          <w:rFonts w:hint="eastAsia" w:ascii="宋体" w:hAnsi="宋体" w:eastAsia="宋体" w:cs="宋体"/>
          <w:bCs/>
          <w:color w:val="auto"/>
          <w:kern w:val="32"/>
          <w:szCs w:val="32"/>
          <w:highlight w:val="none"/>
          <w:lang w:val="en-US" w:eastAsia="zh-CN" w:bidi="ar-SA"/>
        </w:rPr>
        <w:t>第三节 施工组织设计格式（明标）</w:t>
      </w:r>
      <w:r>
        <w:rPr>
          <w:color w:val="auto"/>
        </w:rPr>
        <w:tab/>
      </w:r>
      <w:r>
        <w:rPr>
          <w:color w:val="auto"/>
        </w:rPr>
        <w:fldChar w:fldCharType="begin"/>
      </w:r>
      <w:r>
        <w:rPr>
          <w:color w:val="auto"/>
        </w:rPr>
        <w:instrText xml:space="preserve"> PAGEREF _Toc11584 \h </w:instrText>
      </w:r>
      <w:r>
        <w:rPr>
          <w:color w:val="auto"/>
        </w:rPr>
        <w:fldChar w:fldCharType="separate"/>
      </w:r>
      <w:r>
        <w:rPr>
          <w:color w:val="auto"/>
        </w:rPr>
        <w:t>120</w:t>
      </w:r>
      <w:r>
        <w:rPr>
          <w:color w:val="auto"/>
        </w:rPr>
        <w:fldChar w:fldCharType="end"/>
      </w:r>
      <w:r>
        <w:rPr>
          <w:rFonts w:hint="eastAsia" w:ascii="宋体" w:hAnsi="宋体" w:eastAsia="宋体" w:cs="宋体"/>
          <w:color w:val="auto"/>
          <w:highlight w:val="none"/>
        </w:rPr>
        <w:fldChar w:fldCharType="end"/>
      </w:r>
    </w:p>
    <w:p w14:paraId="59F531BE">
      <w:pPr>
        <w:pStyle w:val="36"/>
        <w:tabs>
          <w:tab w:val="right" w:leader="dot" w:pos="9071"/>
        </w:tabs>
        <w:rPr>
          <w:color w:val="auto"/>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_Toc17586 </w:instrText>
      </w:r>
      <w:r>
        <w:rPr>
          <w:rFonts w:hint="eastAsia" w:ascii="宋体" w:hAnsi="宋体" w:eastAsia="宋体" w:cs="宋体"/>
          <w:color w:val="auto"/>
          <w:highlight w:val="none"/>
        </w:rPr>
        <w:fldChar w:fldCharType="separate"/>
      </w:r>
      <w:r>
        <w:rPr>
          <w:rFonts w:eastAsia="黑体"/>
          <w:color w:val="auto"/>
          <w:szCs w:val="28"/>
          <w:highlight w:val="none"/>
        </w:rPr>
        <w:t>施工组织设计编制要求</w:t>
      </w:r>
      <w:r>
        <w:rPr>
          <w:color w:val="auto"/>
        </w:rPr>
        <w:tab/>
      </w:r>
      <w:r>
        <w:rPr>
          <w:color w:val="auto"/>
        </w:rPr>
        <w:fldChar w:fldCharType="begin"/>
      </w:r>
      <w:r>
        <w:rPr>
          <w:color w:val="auto"/>
        </w:rPr>
        <w:instrText xml:space="preserve"> PAGEREF _Toc17586 \h </w:instrText>
      </w:r>
      <w:r>
        <w:rPr>
          <w:color w:val="auto"/>
        </w:rPr>
        <w:fldChar w:fldCharType="separate"/>
      </w:r>
      <w:r>
        <w:rPr>
          <w:color w:val="auto"/>
        </w:rPr>
        <w:t>122</w:t>
      </w:r>
      <w:r>
        <w:rPr>
          <w:color w:val="auto"/>
        </w:rPr>
        <w:fldChar w:fldCharType="end"/>
      </w:r>
      <w:r>
        <w:rPr>
          <w:rFonts w:hint="eastAsia" w:ascii="宋体" w:hAnsi="宋体" w:eastAsia="宋体" w:cs="宋体"/>
          <w:color w:val="auto"/>
          <w:highlight w:val="none"/>
        </w:rPr>
        <w:fldChar w:fldCharType="end"/>
      </w:r>
    </w:p>
    <w:p w14:paraId="6C215289">
      <w:pPr>
        <w:spacing w:line="340" w:lineRule="exact"/>
        <w:rPr>
          <w:rFonts w:hint="eastAsia" w:ascii="宋体" w:hAnsi="宋体" w:eastAsia="宋体" w:cs="宋体"/>
          <w:color w:val="auto"/>
          <w:sz w:val="24"/>
          <w:highlight w:val="none"/>
        </w:rPr>
      </w:pPr>
      <w:r>
        <w:rPr>
          <w:rFonts w:hint="eastAsia" w:ascii="宋体" w:hAnsi="宋体" w:eastAsia="宋体" w:cs="宋体"/>
          <w:color w:val="auto"/>
          <w:highlight w:val="none"/>
        </w:rPr>
        <w:fldChar w:fldCharType="end"/>
      </w:r>
    </w:p>
    <w:p w14:paraId="7B8BC619">
      <w:pPr>
        <w:spacing w:after="240" w:afterLines="100" w:line="540" w:lineRule="exact"/>
        <w:rPr>
          <w:rFonts w:hint="eastAsia" w:ascii="宋体" w:hAnsi="宋体" w:eastAsia="宋体" w:cs="宋体"/>
          <w:color w:val="auto"/>
          <w:sz w:val="32"/>
          <w:szCs w:val="32"/>
          <w:highlight w:val="none"/>
        </w:rPr>
      </w:pPr>
    </w:p>
    <w:p w14:paraId="623552E8">
      <w:pPr>
        <w:spacing w:after="240" w:afterLines="100" w:line="540" w:lineRule="exact"/>
        <w:rPr>
          <w:rFonts w:hint="eastAsia" w:ascii="宋体" w:hAnsi="宋体" w:eastAsia="宋体" w:cs="宋体"/>
          <w:color w:val="auto"/>
          <w:sz w:val="32"/>
          <w:szCs w:val="32"/>
          <w:highlight w:val="none"/>
        </w:rPr>
      </w:pPr>
    </w:p>
    <w:p w14:paraId="0D58A953">
      <w:pPr>
        <w:spacing w:after="240" w:afterLines="100" w:line="540" w:lineRule="exact"/>
        <w:rPr>
          <w:rFonts w:hint="eastAsia" w:ascii="宋体" w:hAnsi="宋体" w:eastAsia="宋体" w:cs="宋体"/>
          <w:color w:val="auto"/>
          <w:sz w:val="32"/>
          <w:szCs w:val="32"/>
          <w:highlight w:val="none"/>
        </w:rPr>
      </w:pPr>
    </w:p>
    <w:p w14:paraId="7DCA483D">
      <w:pPr>
        <w:spacing w:after="240" w:afterLines="100" w:line="540" w:lineRule="exact"/>
        <w:rPr>
          <w:rFonts w:hint="eastAsia" w:ascii="宋体" w:hAnsi="宋体" w:eastAsia="宋体" w:cs="宋体"/>
          <w:color w:val="auto"/>
          <w:sz w:val="32"/>
          <w:szCs w:val="32"/>
          <w:highlight w:val="none"/>
        </w:rPr>
      </w:pPr>
    </w:p>
    <w:p w14:paraId="6779AD2F">
      <w:pPr>
        <w:pStyle w:val="7"/>
        <w:jc w:val="center"/>
        <w:rPr>
          <w:rFonts w:hint="eastAsia" w:ascii="宋体" w:hAnsi="宋体" w:eastAsia="宋体" w:cs="宋体"/>
          <w:b w:val="0"/>
          <w:bCs w:val="0"/>
          <w:color w:val="auto"/>
          <w:sz w:val="44"/>
          <w:szCs w:val="44"/>
          <w:highlight w:val="none"/>
        </w:rPr>
      </w:pPr>
      <w:bookmarkStart w:id="13" w:name="_Toc80006067"/>
      <w:bookmarkStart w:id="14" w:name="_Toc80006177"/>
      <w:bookmarkStart w:id="15" w:name="_Toc2872"/>
      <w:bookmarkStart w:id="16" w:name="_Toc300677959"/>
    </w:p>
    <w:p w14:paraId="759E1FB8">
      <w:pPr>
        <w:pStyle w:val="7"/>
        <w:jc w:val="center"/>
        <w:rPr>
          <w:rFonts w:hint="eastAsia" w:ascii="宋体" w:hAnsi="宋体" w:eastAsia="宋体" w:cs="宋体"/>
          <w:b w:val="0"/>
          <w:bCs w:val="0"/>
          <w:color w:val="auto"/>
          <w:sz w:val="44"/>
          <w:szCs w:val="44"/>
          <w:highlight w:val="none"/>
        </w:rPr>
      </w:pPr>
    </w:p>
    <w:p w14:paraId="682E6AED">
      <w:pPr>
        <w:pStyle w:val="7"/>
        <w:jc w:val="center"/>
        <w:rPr>
          <w:rFonts w:hint="eastAsia" w:ascii="宋体" w:hAnsi="宋体" w:eastAsia="宋体" w:cs="宋体"/>
          <w:b w:val="0"/>
          <w:bCs w:val="0"/>
          <w:color w:val="auto"/>
          <w:sz w:val="44"/>
          <w:szCs w:val="44"/>
          <w:highlight w:val="none"/>
        </w:rPr>
      </w:pPr>
    </w:p>
    <w:p w14:paraId="6DFC41F6">
      <w:pPr>
        <w:rPr>
          <w:rFonts w:hint="eastAsia" w:ascii="宋体" w:hAnsi="宋体" w:eastAsia="宋体" w:cs="宋体"/>
          <w:b w:val="0"/>
          <w:bCs w:val="0"/>
          <w:color w:val="auto"/>
          <w:sz w:val="44"/>
          <w:szCs w:val="44"/>
          <w:highlight w:val="none"/>
        </w:rPr>
      </w:pPr>
    </w:p>
    <w:p w14:paraId="48E14566">
      <w:pPr>
        <w:pStyle w:val="2"/>
        <w:rPr>
          <w:rFonts w:hint="eastAsia"/>
          <w:color w:val="auto"/>
        </w:rPr>
      </w:pPr>
    </w:p>
    <w:bookmarkEnd w:id="13"/>
    <w:bookmarkEnd w:id="14"/>
    <w:bookmarkEnd w:id="15"/>
    <w:bookmarkEnd w:id="16"/>
    <w:p w14:paraId="139704F3">
      <w:pPr>
        <w:spacing w:after="240" w:afterLines="100" w:line="540" w:lineRule="exact"/>
        <w:rPr>
          <w:rFonts w:hint="eastAsia" w:ascii="宋体" w:hAnsi="宋体" w:eastAsia="宋体" w:cs="宋体"/>
          <w:color w:val="auto"/>
          <w:sz w:val="32"/>
          <w:szCs w:val="32"/>
          <w:highlight w:val="none"/>
        </w:rPr>
      </w:pPr>
    </w:p>
    <w:p w14:paraId="6E6D324C">
      <w:pPr>
        <w:pStyle w:val="2"/>
        <w:rPr>
          <w:rFonts w:hint="eastAsia"/>
          <w:color w:val="auto"/>
        </w:rPr>
      </w:pPr>
    </w:p>
    <w:p w14:paraId="2C725189">
      <w:pPr>
        <w:jc w:val="center"/>
        <w:outlineLvl w:val="0"/>
        <w:rPr>
          <w:rFonts w:hint="eastAsia" w:ascii="宋体" w:hAnsi="宋体" w:eastAsia="宋体" w:cs="宋体"/>
          <w:b w:val="0"/>
          <w:bCs w:val="0"/>
          <w:color w:val="auto"/>
          <w:sz w:val="44"/>
          <w:szCs w:val="44"/>
          <w:highlight w:val="none"/>
        </w:rPr>
      </w:pPr>
      <w:bookmarkStart w:id="17" w:name="_Toc1716"/>
      <w:bookmarkStart w:id="18" w:name="_Toc31125"/>
    </w:p>
    <w:p w14:paraId="6D5CAE5E">
      <w:pPr>
        <w:jc w:val="center"/>
        <w:outlineLvl w:val="0"/>
        <w:rPr>
          <w:rFonts w:hint="eastAsia" w:ascii="宋体" w:hAnsi="宋体" w:eastAsia="宋体" w:cs="宋体"/>
          <w:b w:val="0"/>
          <w:bCs w:val="0"/>
          <w:color w:val="auto"/>
          <w:sz w:val="44"/>
          <w:szCs w:val="44"/>
          <w:highlight w:val="none"/>
        </w:rPr>
      </w:pPr>
      <w:bookmarkStart w:id="19" w:name="_Toc9493"/>
      <w:r>
        <w:rPr>
          <w:rFonts w:hint="eastAsia" w:ascii="宋体" w:hAnsi="宋体" w:eastAsia="宋体" w:cs="宋体"/>
          <w:b w:val="0"/>
          <w:bCs w:val="0"/>
          <w:color w:val="auto"/>
          <w:sz w:val="44"/>
          <w:szCs w:val="44"/>
          <w:highlight w:val="none"/>
        </w:rPr>
        <w:t>第  一  卷</w:t>
      </w:r>
      <w:bookmarkEnd w:id="17"/>
      <w:bookmarkEnd w:id="18"/>
      <w:bookmarkEnd w:id="19"/>
    </w:p>
    <w:p w14:paraId="24D8247B">
      <w:pPr>
        <w:spacing w:after="240" w:afterLines="100" w:line="540" w:lineRule="exact"/>
        <w:rPr>
          <w:rFonts w:hint="eastAsia" w:ascii="宋体" w:hAnsi="宋体" w:eastAsia="宋体" w:cs="宋体"/>
          <w:color w:val="auto"/>
          <w:sz w:val="32"/>
          <w:szCs w:val="32"/>
          <w:highlight w:val="none"/>
        </w:rPr>
      </w:pPr>
    </w:p>
    <w:p w14:paraId="6ADB20CE">
      <w:pPr>
        <w:rPr>
          <w:rFonts w:hint="eastAsia" w:ascii="宋体" w:hAnsi="宋体" w:eastAsia="宋体" w:cs="宋体"/>
          <w:color w:val="auto"/>
          <w:highlight w:val="none"/>
        </w:rPr>
      </w:pPr>
      <w:r>
        <w:rPr>
          <w:rFonts w:hint="eastAsia" w:ascii="宋体" w:hAnsi="宋体" w:eastAsia="宋体" w:cs="宋体"/>
          <w:color w:val="auto"/>
          <w:sz w:val="32"/>
          <w:szCs w:val="32"/>
          <w:highlight w:val="none"/>
        </w:rPr>
        <w:br w:type="page"/>
      </w:r>
      <w:bookmarkStart w:id="20" w:name="_Toc300677960"/>
    </w:p>
    <w:bookmarkEnd w:id="20"/>
    <w:p w14:paraId="762795AF">
      <w:pPr>
        <w:pStyle w:val="8"/>
        <w:spacing w:before="0" w:after="0"/>
        <w:jc w:val="center"/>
        <w:outlineLvl w:val="1"/>
        <w:rPr>
          <w:rFonts w:hint="eastAsia" w:ascii="宋体" w:hAnsi="宋体" w:eastAsia="宋体" w:cs="宋体"/>
          <w:b w:val="0"/>
          <w:bCs w:val="0"/>
          <w:color w:val="auto"/>
          <w:highlight w:val="none"/>
        </w:rPr>
      </w:pPr>
      <w:bookmarkStart w:id="21" w:name="_Toc300677986"/>
      <w:bookmarkStart w:id="22" w:name="_Toc31175"/>
      <w:bookmarkStart w:id="23" w:name="_Toc1031"/>
      <w:bookmarkStart w:id="24" w:name="_Toc80006079"/>
      <w:bookmarkStart w:id="25" w:name="_Toc12835"/>
      <w:bookmarkStart w:id="26" w:name="_Toc80006189"/>
      <w:bookmarkStart w:id="27" w:name="_Toc15711"/>
      <w:bookmarkStart w:id="28" w:name="_Toc1654"/>
      <w:bookmarkStart w:id="29" w:name="_Toc1084"/>
      <w:bookmarkStart w:id="30" w:name="_Toc20384"/>
      <w:r>
        <w:rPr>
          <w:rFonts w:hint="eastAsia" w:ascii="宋体" w:hAnsi="宋体" w:eastAsia="宋体" w:cs="宋体"/>
          <w:b w:val="0"/>
          <w:bCs w:val="0"/>
          <w:color w:val="auto"/>
          <w:highlight w:val="none"/>
        </w:rPr>
        <w:t xml:space="preserve">第一章  </w:t>
      </w:r>
      <w:bookmarkEnd w:id="21"/>
      <w:r>
        <w:rPr>
          <w:rFonts w:hint="eastAsia" w:ascii="宋体" w:hAnsi="宋体" w:cs="宋体"/>
          <w:b w:val="0"/>
          <w:bCs w:val="0"/>
          <w:color w:val="auto"/>
          <w:highlight w:val="none"/>
          <w:lang w:val="en-US" w:eastAsia="zh-CN"/>
        </w:rPr>
        <w:t>招标公告</w:t>
      </w:r>
      <w:bookmarkEnd w:id="22"/>
      <w:bookmarkEnd w:id="23"/>
      <w:bookmarkEnd w:id="24"/>
      <w:bookmarkEnd w:id="25"/>
      <w:bookmarkEnd w:id="26"/>
      <w:bookmarkEnd w:id="27"/>
      <w:bookmarkEnd w:id="28"/>
      <w:bookmarkEnd w:id="29"/>
      <w:bookmarkEnd w:id="30"/>
    </w:p>
    <w:p w14:paraId="40363142">
      <w:pPr>
        <w:rPr>
          <w:rFonts w:hint="eastAsia" w:ascii="宋体" w:hAnsi="宋体" w:eastAsia="宋体" w:cs="宋体"/>
          <w:color w:val="auto"/>
          <w:highlight w:val="none"/>
        </w:rPr>
      </w:pPr>
    </w:p>
    <w:p w14:paraId="395F7247">
      <w:pPr>
        <w:jc w:val="center"/>
        <w:outlineLvl w:val="1"/>
        <w:rPr>
          <w:rFonts w:hint="default" w:ascii="宋体" w:hAnsi="宋体" w:eastAsia="宋体" w:cs="宋体"/>
          <w:color w:val="auto"/>
          <w:sz w:val="28"/>
          <w:highlight w:val="none"/>
          <w:lang w:val="en-US" w:eastAsia="zh-CN"/>
        </w:rPr>
      </w:pPr>
      <w:bookmarkStart w:id="31" w:name="_Toc9650"/>
      <w:bookmarkStart w:id="32" w:name="_Toc26214"/>
      <w:bookmarkStart w:id="33" w:name="_Toc1381"/>
      <w:bookmarkStart w:id="34" w:name="_Toc1272"/>
      <w:bookmarkStart w:id="35" w:name="_Toc18370"/>
      <w:bookmarkStart w:id="36" w:name="_Toc7112"/>
      <w:r>
        <w:rPr>
          <w:rFonts w:hint="eastAsia" w:ascii="宋体" w:hAnsi="宋体" w:cs="宋体"/>
          <w:color w:val="auto"/>
          <w:sz w:val="28"/>
          <w:highlight w:val="none"/>
          <w:u w:val="single"/>
          <w:lang w:val="en-US" w:eastAsia="zh-CN"/>
        </w:rPr>
        <w:t>沱涔大道帮扶车间产业园建设项目</w:t>
      </w:r>
      <w:r>
        <w:rPr>
          <w:rFonts w:hint="eastAsia" w:ascii="宋体" w:hAnsi="宋体" w:eastAsia="宋体" w:cs="宋体"/>
          <w:color w:val="auto"/>
          <w:sz w:val="28"/>
          <w:highlight w:val="none"/>
        </w:rPr>
        <w:t>施工</w:t>
      </w:r>
      <w:bookmarkEnd w:id="31"/>
      <w:bookmarkEnd w:id="32"/>
      <w:r>
        <w:rPr>
          <w:rFonts w:hint="eastAsia" w:ascii="宋体" w:hAnsi="宋体" w:cs="宋体"/>
          <w:color w:val="auto"/>
          <w:sz w:val="28"/>
          <w:highlight w:val="none"/>
          <w:lang w:val="en-US" w:eastAsia="zh-CN"/>
        </w:rPr>
        <w:t>招标公告</w:t>
      </w:r>
      <w:bookmarkEnd w:id="33"/>
      <w:bookmarkEnd w:id="34"/>
      <w:bookmarkEnd w:id="35"/>
      <w:bookmarkEnd w:id="36"/>
    </w:p>
    <w:p w14:paraId="197F7482">
      <w:pPr>
        <w:rPr>
          <w:rFonts w:hint="eastAsia" w:ascii="宋体" w:hAnsi="宋体" w:eastAsia="宋体" w:cs="宋体"/>
          <w:color w:val="auto"/>
          <w:highlight w:val="none"/>
        </w:rPr>
      </w:pPr>
    </w:p>
    <w:p w14:paraId="6EDA9EFC">
      <w:pPr>
        <w:pStyle w:val="2"/>
        <w:rPr>
          <w:rFonts w:hint="eastAsia" w:ascii="宋体" w:hAnsi="宋体" w:eastAsia="宋体" w:cs="宋体"/>
          <w:color w:val="auto"/>
          <w:highlight w:val="none"/>
        </w:rPr>
      </w:pPr>
    </w:p>
    <w:p w14:paraId="5F735D71">
      <w:pPr>
        <w:pStyle w:val="3"/>
        <w:rPr>
          <w:rFonts w:hint="eastAsia"/>
          <w:color w:val="auto"/>
        </w:rPr>
      </w:pPr>
    </w:p>
    <w:p w14:paraId="10726D35">
      <w:pPr>
        <w:pStyle w:val="8"/>
        <w:spacing w:before="0" w:after="0" w:line="360" w:lineRule="auto"/>
        <w:rPr>
          <w:rFonts w:hint="eastAsia" w:ascii="宋体" w:hAnsi="宋体" w:eastAsia="宋体" w:cs="宋体"/>
          <w:b/>
          <w:bCs/>
          <w:color w:val="auto"/>
          <w:sz w:val="30"/>
          <w:highlight w:val="none"/>
        </w:rPr>
      </w:pPr>
      <w:bookmarkStart w:id="37" w:name="_Toc10427"/>
      <w:bookmarkStart w:id="38" w:name="_Toc22392"/>
      <w:bookmarkStart w:id="39" w:name="_Toc80006190"/>
      <w:bookmarkStart w:id="40" w:name="_Toc9178508"/>
      <w:bookmarkStart w:id="41" w:name="_Toc80006080"/>
      <w:bookmarkStart w:id="42" w:name="_Toc32334"/>
      <w:bookmarkStart w:id="43" w:name="_Toc27421"/>
      <w:bookmarkStart w:id="44" w:name="_Toc29414"/>
      <w:r>
        <w:rPr>
          <w:rFonts w:hint="eastAsia" w:ascii="宋体" w:hAnsi="宋体" w:eastAsia="宋体" w:cs="宋体"/>
          <w:b/>
          <w:bCs/>
          <w:color w:val="auto"/>
          <w:sz w:val="30"/>
          <w:highlight w:val="none"/>
        </w:rPr>
        <w:t>1.项目概况</w:t>
      </w:r>
      <w:bookmarkEnd w:id="37"/>
      <w:bookmarkEnd w:id="38"/>
      <w:bookmarkEnd w:id="39"/>
      <w:bookmarkEnd w:id="40"/>
      <w:bookmarkEnd w:id="41"/>
      <w:bookmarkEnd w:id="42"/>
      <w:bookmarkEnd w:id="43"/>
      <w:bookmarkEnd w:id="44"/>
    </w:p>
    <w:p w14:paraId="6777545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 审批、核准或备案情况</w:t>
      </w:r>
    </w:p>
    <w:p w14:paraId="385AE1D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沱涔大道帮扶车间产业园建设项目</w:t>
      </w:r>
      <w:r>
        <w:rPr>
          <w:rFonts w:hint="eastAsia" w:ascii="宋体" w:hAnsi="宋体" w:eastAsia="宋体" w:cs="宋体"/>
          <w:color w:val="auto"/>
          <w:u w:val="single"/>
          <w:lang w:val="en-US" w:eastAsia="zh-CN"/>
        </w:rPr>
        <w:t>，</w:t>
      </w:r>
      <w:r>
        <w:rPr>
          <w:rFonts w:hint="eastAsia" w:ascii="宋体" w:hAnsi="宋体" w:eastAsia="宋体" w:cs="宋体"/>
          <w:color w:val="auto"/>
          <w:highlight w:val="none"/>
        </w:rPr>
        <w:t xml:space="preserve">项目审批、核准或备案机关名称 </w:t>
      </w:r>
      <w:r>
        <w:rPr>
          <w:rFonts w:hint="eastAsia" w:ascii="宋体" w:hAnsi="宋体" w:eastAsia="宋体" w:cs="宋体"/>
          <w:color w:val="auto"/>
          <w:szCs w:val="21"/>
          <w:highlight w:val="none"/>
          <w:u w:val="single"/>
          <w:lang w:val="en-US" w:eastAsia="zh-CN"/>
        </w:rPr>
        <w:t>江华瑶族自治县发展和改革局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，批文名称及编号</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u w:val="single"/>
          <w:lang w:val="en-US" w:eastAsia="zh-CN"/>
        </w:rPr>
        <w:t>关于</w:t>
      </w:r>
      <w:r>
        <w:rPr>
          <w:rFonts w:hint="eastAsia" w:ascii="宋体" w:hAnsi="宋体" w:cs="宋体"/>
          <w:color w:val="auto"/>
          <w:szCs w:val="21"/>
          <w:highlight w:val="none"/>
          <w:u w:val="single"/>
          <w:lang w:val="en-US" w:eastAsia="zh-CN"/>
        </w:rPr>
        <w:t>沱涔大道帮扶车间产业园建设项目</w:t>
      </w:r>
      <w:r>
        <w:rPr>
          <w:rFonts w:hint="eastAsia" w:ascii="宋体" w:hAnsi="宋体" w:eastAsia="宋体" w:cs="宋体"/>
          <w:color w:val="auto"/>
          <w:szCs w:val="21"/>
          <w:highlight w:val="none"/>
          <w:u w:val="single"/>
          <w:lang w:val="en-US" w:eastAsia="zh-CN"/>
        </w:rPr>
        <w:t>可行性研究报告的批复江发改审〔2023]</w:t>
      </w:r>
      <w:r>
        <w:rPr>
          <w:rFonts w:hint="eastAsia" w:ascii="宋体" w:hAnsi="宋体" w:cs="宋体"/>
          <w:color w:val="auto"/>
          <w:szCs w:val="21"/>
          <w:highlight w:val="none"/>
          <w:u w:val="single"/>
          <w:lang w:val="en-US" w:eastAsia="zh-CN"/>
        </w:rPr>
        <w:t>19</w:t>
      </w:r>
      <w:r>
        <w:rPr>
          <w:rFonts w:hint="eastAsia" w:ascii="宋体" w:hAnsi="宋体" w:eastAsia="宋体" w:cs="宋体"/>
          <w:color w:val="auto"/>
          <w:szCs w:val="21"/>
          <w:highlight w:val="none"/>
          <w:u w:val="single"/>
          <w:lang w:val="en-US" w:eastAsia="zh-CN"/>
        </w:rPr>
        <w:t xml:space="preserve">号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建设单位</w:t>
      </w:r>
      <w:r>
        <w:rPr>
          <w:rFonts w:hint="eastAsia" w:ascii="宋体" w:hAnsi="宋体" w:eastAsia="宋体" w:cs="宋体"/>
          <w:color w:val="auto"/>
          <w:highlight w:val="none"/>
        </w:rPr>
        <w:t>为</w:t>
      </w:r>
      <w:r>
        <w:rPr>
          <w:rFonts w:hint="eastAsia" w:ascii="宋体" w:hAnsi="宋体" w:eastAsia="宋体" w:cs="宋体"/>
          <w:color w:val="auto"/>
          <w:highlight w:val="none"/>
          <w:u w:val="single"/>
        </w:rPr>
        <w:t xml:space="preserve"> </w:t>
      </w:r>
      <w:r>
        <w:rPr>
          <w:rFonts w:hint="eastAsia" w:ascii="宋体" w:hAnsi="宋体" w:cs="宋体"/>
          <w:color w:val="auto"/>
          <w:u w:val="single"/>
          <w:lang w:val="en-US" w:eastAsia="zh-CN"/>
        </w:rPr>
        <w:t>江华瑶族自治县沱江镇人民政府</w:t>
      </w:r>
      <w:r>
        <w:rPr>
          <w:rFonts w:hint="eastAsia" w:ascii="宋体" w:hAnsi="宋体" w:eastAsia="宋体" w:cs="宋体"/>
          <w:color w:val="auto"/>
          <w:highlight w:val="none"/>
        </w:rPr>
        <w:t>，主要建设内容</w:t>
      </w:r>
      <w:r>
        <w:rPr>
          <w:rFonts w:hint="eastAsia" w:ascii="宋体" w:hAnsi="宋体" w:eastAsia="宋体" w:cs="宋体"/>
          <w:color w:val="auto"/>
          <w:highlight w:val="none"/>
          <w:lang w:eastAsia="zh-CN"/>
        </w:rPr>
        <w:t>为</w:t>
      </w:r>
      <w:r>
        <w:rPr>
          <w:rFonts w:hint="eastAsia" w:ascii="宋体" w:hAnsi="宋体" w:cs="宋体"/>
          <w:color w:val="auto"/>
          <w:highlight w:val="none"/>
          <w:u w:val="single"/>
          <w:lang w:eastAsia="zh-CN"/>
        </w:rPr>
        <w:t>建设</w:t>
      </w:r>
      <w:r>
        <w:rPr>
          <w:rFonts w:hint="eastAsia" w:ascii="宋体" w:hAnsi="宋体" w:cs="宋体"/>
          <w:color w:val="auto"/>
          <w:highlight w:val="none"/>
          <w:u w:val="single"/>
          <w:lang w:val="en-US" w:eastAsia="zh-CN"/>
        </w:rPr>
        <w:t>3456平方米的标准化厂房一座及室外道路等</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项目总投资为</w:t>
      </w:r>
      <w:r>
        <w:rPr>
          <w:rFonts w:hint="eastAsia" w:ascii="宋体" w:hAnsi="宋体" w:eastAsia="宋体" w:cs="宋体"/>
          <w:color w:val="auto"/>
          <w:highlight w:val="none"/>
          <w:u w:val="single"/>
        </w:rPr>
        <w:t xml:space="preserve"> </w:t>
      </w:r>
      <w:r>
        <w:rPr>
          <w:rFonts w:hint="eastAsia" w:ascii="宋体" w:hAnsi="宋体" w:cs="宋体"/>
          <w:color w:val="auto"/>
          <w:highlight w:val="none"/>
          <w:u w:val="single"/>
          <w:lang w:val="en-US" w:eastAsia="zh-CN"/>
        </w:rPr>
        <w:t>3440230.09</w:t>
      </w:r>
      <w:r>
        <w:rPr>
          <w:rFonts w:hint="eastAsia" w:ascii="宋体" w:hAnsi="宋体" w:eastAsia="宋体" w:cs="宋体"/>
          <w:color w:val="auto"/>
          <w:szCs w:val="21"/>
          <w:highlight w:val="none"/>
          <w:u w:val="single"/>
          <w:lang w:val="en-US" w:eastAsia="zh-CN"/>
        </w:rPr>
        <w:t xml:space="preserve">元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，资金来源和落实情况</w:t>
      </w:r>
      <w:r>
        <w:rPr>
          <w:rFonts w:hint="eastAsia" w:ascii="宋体" w:hAnsi="宋体" w:eastAsia="宋体" w:cs="宋体"/>
          <w:color w:val="auto"/>
          <w:szCs w:val="21"/>
          <w:highlight w:val="none"/>
          <w:u w:val="single"/>
          <w:lang w:eastAsia="zh-CN"/>
        </w:rPr>
        <w:t>为</w:t>
      </w:r>
      <w:r>
        <w:rPr>
          <w:rFonts w:hint="eastAsia" w:ascii="宋体" w:hAnsi="宋体" w:cs="宋体"/>
          <w:color w:val="auto"/>
          <w:szCs w:val="21"/>
          <w:highlight w:val="none"/>
          <w:u w:val="single"/>
          <w:lang w:val="en-US" w:eastAsia="zh-CN"/>
        </w:rPr>
        <w:t>2022年度省级衔接补助资金</w:t>
      </w:r>
      <w:r>
        <w:rPr>
          <w:rFonts w:hint="eastAsia" w:ascii="宋体" w:hAnsi="宋体" w:eastAsia="宋体" w:cs="宋体"/>
          <w:color w:val="auto"/>
          <w:szCs w:val="21"/>
          <w:highlight w:val="none"/>
          <w:u w:val="single"/>
          <w:lang w:val="en-US" w:eastAsia="zh-CN"/>
        </w:rPr>
        <w:t>，资金已落实</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2B96102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1.2招标项目概况</w:t>
      </w:r>
    </w:p>
    <w:p w14:paraId="5ECFF23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1"/>
          <w:highlight w:val="none"/>
        </w:rPr>
        <w:t>2.1招标项目或标段（以下简称：招标项目）名称：</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沱涔大道帮扶车间产业园建设项目</w:t>
      </w:r>
      <w:r>
        <w:rPr>
          <w:rFonts w:hint="eastAsia" w:ascii="宋体" w:hAnsi="宋体" w:eastAsia="宋体" w:cs="宋体"/>
          <w:color w:val="auto"/>
          <w:szCs w:val="21"/>
          <w:highlight w:val="none"/>
          <w:u w:val="single"/>
          <w:lang w:val="en-US" w:eastAsia="zh-CN"/>
        </w:rPr>
        <w:t>；</w:t>
      </w:r>
    </w:p>
    <w:p w14:paraId="7841DC5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w:t>
      </w:r>
      <w:r>
        <w:rPr>
          <w:rFonts w:hint="eastAsia" w:ascii="宋体" w:hAnsi="宋体" w:eastAsia="宋体" w:cs="宋体"/>
          <w:color w:val="auto"/>
          <w:szCs w:val="21"/>
          <w:highlight w:val="none"/>
        </w:rPr>
        <w:t>2.2建设地点：</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沱涔大道沱岭村和山寨村交界处</w:t>
      </w:r>
      <w:r>
        <w:rPr>
          <w:rFonts w:hint="eastAsia" w:ascii="宋体" w:hAnsi="宋体" w:eastAsia="宋体" w:cs="宋体"/>
          <w:color w:val="auto"/>
          <w:highlight w:val="none"/>
        </w:rPr>
        <w:t>；</w:t>
      </w:r>
    </w:p>
    <w:p w14:paraId="47CB78F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rPr>
        <w:t>1.</w:t>
      </w:r>
      <w:r>
        <w:rPr>
          <w:rFonts w:hint="eastAsia" w:ascii="宋体" w:hAnsi="宋体" w:eastAsia="宋体" w:cs="宋体"/>
          <w:color w:val="auto"/>
          <w:szCs w:val="21"/>
          <w:highlight w:val="none"/>
        </w:rPr>
        <w:t>2.3项目基本情况</w:t>
      </w:r>
    </w:p>
    <w:p w14:paraId="319BA5E8">
      <w:pPr>
        <w:keepNext w:val="0"/>
        <w:keepLines w:val="0"/>
        <w:widowControl/>
        <w:suppressLineNumbers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highlight w:val="none"/>
        </w:rPr>
        <w:t>主要建设内容</w:t>
      </w:r>
      <w:r>
        <w:rPr>
          <w:rFonts w:hint="eastAsia" w:ascii="宋体" w:hAnsi="宋体" w:eastAsia="宋体" w:cs="宋体"/>
          <w:color w:val="auto"/>
          <w:highlight w:val="none"/>
          <w:lang w:eastAsia="zh-CN"/>
        </w:rPr>
        <w:t>为</w:t>
      </w:r>
      <w:r>
        <w:rPr>
          <w:rFonts w:hint="eastAsia" w:ascii="宋体" w:hAnsi="宋体" w:cs="宋体"/>
          <w:color w:val="auto"/>
          <w:highlight w:val="none"/>
          <w:u w:val="single"/>
          <w:lang w:val="en-US" w:eastAsia="zh-CN"/>
        </w:rPr>
        <w:t>主要新建一栋厂房，层高8米，建筑面积3456平方米；产业园内部道路及产业园东部道路建设约2496.5㎡；产业园内部给排水、电力、通讯及基本配套设施等建设。</w:t>
      </w:r>
      <w:r>
        <w:rPr>
          <w:rFonts w:hint="eastAsia" w:ascii="宋体" w:hAnsi="宋体" w:eastAsia="宋体" w:cs="宋体"/>
          <w:color w:val="auto"/>
          <w:szCs w:val="21"/>
          <w:highlight w:val="none"/>
          <w:u w:val="none"/>
          <w:lang w:val="en-US" w:eastAsia="zh-CN"/>
        </w:rPr>
        <w:t>具体详见工程量清单（以江华瑶族自治县财政投资评审中心审定的工程量清单）及施工图为准。项目总投资为</w:t>
      </w:r>
      <w:r>
        <w:rPr>
          <w:rFonts w:hint="eastAsia" w:ascii="宋体" w:hAnsi="宋体" w:cs="宋体"/>
          <w:color w:val="auto"/>
          <w:highlight w:val="none"/>
          <w:u w:val="single"/>
          <w:lang w:val="en-US" w:eastAsia="zh-CN"/>
        </w:rPr>
        <w:t>3440230.09</w:t>
      </w:r>
      <w:r>
        <w:rPr>
          <w:rFonts w:hint="eastAsia" w:ascii="宋体" w:hAnsi="宋体" w:eastAsia="宋体" w:cs="宋体"/>
          <w:color w:val="auto"/>
          <w:szCs w:val="21"/>
          <w:highlight w:val="none"/>
          <w:u w:val="none"/>
          <w:lang w:val="en-US" w:eastAsia="zh-CN"/>
        </w:rPr>
        <w:t>元。</w:t>
      </w:r>
    </w:p>
    <w:p w14:paraId="0CCCA1C7">
      <w:pPr>
        <w:snapToGrid w:val="0"/>
        <w:spacing w:line="360" w:lineRule="auto"/>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（由招标人根据招标项目具体情况，结合要求投标人具备类似工程业绩情况和投标判断有关的指标进行描述。其中：房屋建筑工程要求投标人具备类似工程业绩的相关指标</w:t>
      </w:r>
      <w:r>
        <w:rPr>
          <w:rFonts w:hint="eastAsia" w:ascii="宋体" w:hAnsi="宋体" w:eastAsia="宋体" w:cs="宋体"/>
          <w:color w:val="auto"/>
          <w:szCs w:val="21"/>
          <w:highlight w:val="none"/>
          <w:lang w:val="en-US" w:eastAsia="zh-CN"/>
        </w:rPr>
        <w:t>、特征</w:t>
      </w:r>
      <w:r>
        <w:rPr>
          <w:rFonts w:hint="eastAsia" w:ascii="宋体" w:hAnsi="宋体" w:eastAsia="宋体" w:cs="宋体"/>
          <w:color w:val="auto"/>
          <w:szCs w:val="21"/>
          <w:highlight w:val="none"/>
        </w:rPr>
        <w:t>为 “</w:t>
      </w:r>
      <w:r>
        <w:rPr>
          <w:rFonts w:hint="eastAsia" w:ascii="宋体" w:hAnsi="宋体" w:eastAsia="宋体" w:cs="宋体"/>
          <w:color w:val="auto"/>
          <w:szCs w:val="32"/>
          <w:highlight w:val="none"/>
        </w:rPr>
        <w:t>建筑类型、结构、层数、高度、建筑面积、跨度、单项合同额</w:t>
      </w:r>
      <w:r>
        <w:rPr>
          <w:rFonts w:hint="eastAsia" w:ascii="宋体" w:hAnsi="宋体" w:eastAsia="宋体" w:cs="宋体"/>
          <w:color w:val="auto"/>
          <w:szCs w:val="21"/>
          <w:highlight w:val="none"/>
        </w:rPr>
        <w:t>等</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；市政基础设施工程要求的相关指标</w:t>
      </w:r>
      <w:r>
        <w:rPr>
          <w:rFonts w:hint="eastAsia" w:ascii="宋体" w:hAnsi="宋体" w:eastAsia="宋体" w:cs="宋体"/>
          <w:color w:val="auto"/>
          <w:szCs w:val="21"/>
          <w:highlight w:val="none"/>
          <w:lang w:val="en-US" w:eastAsia="zh-CN"/>
        </w:rPr>
        <w:t>、特征</w:t>
      </w:r>
      <w:r>
        <w:rPr>
          <w:rFonts w:hint="eastAsia" w:ascii="宋体" w:hAnsi="宋体" w:eastAsia="宋体" w:cs="宋体"/>
          <w:color w:val="auto"/>
          <w:szCs w:val="21"/>
          <w:highlight w:val="none"/>
        </w:rPr>
        <w:t>为“道路长度或者面积、桥梁长度或者面积或者跨度或者结构、管道直径或者压力、隧道和地下交通工程断面面积、供水能力、供气能力、供热能力、污水处理能力、垃圾处理能力、园林绿化规模以及单项合同额等）</w:t>
      </w:r>
    </w:p>
    <w:p w14:paraId="67C728D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1.3工期要求：</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180</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none"/>
          <w:lang w:val="en-US" w:eastAsia="zh-CN"/>
        </w:rPr>
        <w:t>☑天</w:t>
      </w:r>
      <w:r>
        <w:rPr>
          <w:rFonts w:hint="eastAsia" w:ascii="宋体" w:hAnsi="宋体" w:eastAsia="宋体" w:cs="宋体"/>
          <w:color w:val="auto"/>
          <w:highlight w:val="none"/>
        </w:rPr>
        <w:t>（日历日，下同）□月□年；</w:t>
      </w:r>
    </w:p>
    <w:p w14:paraId="06962AEC">
      <w:pPr>
        <w:keepNext w:val="0"/>
        <w:keepLines w:val="0"/>
        <w:widowControl/>
        <w:suppressLineNumbers w:val="0"/>
        <w:spacing w:line="360" w:lineRule="auto"/>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highlight w:val="none"/>
        </w:rPr>
        <w:t>1.4招标范围：</w:t>
      </w:r>
      <w:r>
        <w:rPr>
          <w:rFonts w:hint="eastAsia" w:ascii="宋体" w:hAnsi="宋体" w:cs="宋体"/>
          <w:color w:val="auto"/>
          <w:highlight w:val="none"/>
          <w:lang w:val="en-US" w:eastAsia="zh-CN"/>
        </w:rPr>
        <w:t>该工程位于 沱涔大道沱岭村和山寨村交界处，</w:t>
      </w:r>
      <w:r>
        <w:rPr>
          <w:rFonts w:hint="eastAsia" w:ascii="宋体" w:hAnsi="宋体" w:eastAsia="宋体" w:cs="宋体"/>
          <w:color w:val="auto"/>
          <w:szCs w:val="21"/>
          <w:highlight w:val="none"/>
          <w:u w:val="none"/>
          <w:lang w:val="en-US" w:eastAsia="zh-CN"/>
        </w:rPr>
        <w:t>工程所包括的施工内容，包括但不限于施工图的全部施工内容；工程竣工验收、备案、移交及结（决）算；工程保修等。具体详见招标人提供的施工设计图纸、工程量清单，具体以施工图及工程量清单为准 ；</w:t>
      </w:r>
    </w:p>
    <w:p w14:paraId="19E4A843">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u w:val="none"/>
          <w:lang w:val="en-US" w:eastAsia="zh-CN" w:bidi="ar"/>
        </w:rPr>
      </w:pPr>
      <w:r>
        <w:rPr>
          <w:rFonts w:hint="eastAsia" w:ascii="宋体" w:hAnsi="宋体" w:eastAsia="宋体" w:cs="宋体"/>
          <w:color w:val="auto"/>
          <w:kern w:val="2"/>
          <w:sz w:val="21"/>
          <w:szCs w:val="21"/>
          <w:highlight w:val="none"/>
          <w:u w:val="none"/>
          <w:lang w:val="en-US" w:eastAsia="zh-CN" w:bidi="ar"/>
        </w:rPr>
        <w:t>1.5质量要求：</w:t>
      </w:r>
      <w:r>
        <w:rPr>
          <w:rFonts w:hint="eastAsia" w:ascii="宋体" w:hAnsi="宋体" w:eastAsia="宋体" w:cs="宋体"/>
          <w:color w:val="auto"/>
          <w:szCs w:val="21"/>
          <w:highlight w:val="none"/>
          <w:u w:val="none"/>
          <w:lang w:val="en-US" w:eastAsia="zh-CN"/>
        </w:rPr>
        <w:t>达到国家合格工程验收标准</w:t>
      </w:r>
    </w:p>
    <w:p w14:paraId="36E99A0A">
      <w:pPr>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1"/>
          <w:highlight w:val="none"/>
          <w:u w:val="none"/>
          <w:lang w:val="en-US" w:eastAsia="zh-CN" w:bidi="ar"/>
        </w:rPr>
      </w:pPr>
      <w:r>
        <w:rPr>
          <w:rFonts w:hint="eastAsia" w:ascii="宋体" w:hAnsi="宋体" w:eastAsia="宋体" w:cs="宋体"/>
          <w:color w:val="auto"/>
          <w:kern w:val="2"/>
          <w:sz w:val="21"/>
          <w:szCs w:val="21"/>
          <w:highlight w:val="none"/>
          <w:u w:val="none"/>
          <w:lang w:val="en-US" w:eastAsia="zh-CN" w:bidi="ar"/>
        </w:rPr>
        <w:t>1.6保修要求：</w:t>
      </w:r>
      <w:r>
        <w:rPr>
          <w:rFonts w:hint="eastAsia" w:ascii="宋体" w:hAnsi="宋体" w:eastAsia="宋体" w:cs="宋体"/>
          <w:color w:val="auto"/>
          <w:szCs w:val="21"/>
          <w:highlight w:val="none"/>
          <w:u w:val="none"/>
          <w:lang w:val="en-US" w:eastAsia="zh-CN"/>
        </w:rPr>
        <w:t>按中华人民共和国国务院令第 279 号规定执行</w:t>
      </w:r>
      <w:r>
        <w:rPr>
          <w:rFonts w:hint="eastAsia" w:ascii="宋体" w:hAnsi="宋体" w:eastAsia="宋体" w:cs="宋体"/>
          <w:color w:val="auto"/>
          <w:kern w:val="2"/>
          <w:sz w:val="21"/>
          <w:szCs w:val="21"/>
          <w:highlight w:val="none"/>
          <w:u w:val="none"/>
          <w:lang w:val="en-US" w:eastAsia="zh-CN" w:bidi="ar"/>
        </w:rPr>
        <w:t xml:space="preserve"> 。</w:t>
      </w:r>
    </w:p>
    <w:p w14:paraId="0D405460">
      <w:pPr>
        <w:spacing w:line="360" w:lineRule="auto"/>
        <w:ind w:firstLine="420" w:firstLineChars="200"/>
        <w:rPr>
          <w:rFonts w:hint="eastAsia" w:ascii="宋体" w:hAnsi="宋体" w:eastAsia="宋体" w:cs="宋体"/>
          <w:color w:val="auto"/>
          <w:highlight w:val="none"/>
        </w:rPr>
      </w:pPr>
    </w:p>
    <w:p w14:paraId="6043A57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1.7标段划分：一个标段。</w:t>
      </w:r>
    </w:p>
    <w:p w14:paraId="2B98F8E7">
      <w:pPr>
        <w:pStyle w:val="8"/>
        <w:spacing w:before="0" w:after="0" w:line="360" w:lineRule="auto"/>
        <w:rPr>
          <w:rFonts w:hint="eastAsia" w:ascii="宋体" w:hAnsi="宋体" w:eastAsia="宋体" w:cs="宋体"/>
          <w:b/>
          <w:bCs/>
          <w:color w:val="auto"/>
          <w:sz w:val="30"/>
          <w:highlight w:val="none"/>
        </w:rPr>
      </w:pPr>
      <w:bookmarkStart w:id="45" w:name="_Toc19994"/>
      <w:bookmarkStart w:id="46" w:name="_Toc9178509"/>
      <w:bookmarkStart w:id="47" w:name="_Toc17840"/>
      <w:bookmarkStart w:id="48" w:name="_Toc5125"/>
      <w:bookmarkStart w:id="49" w:name="_Toc80006191"/>
      <w:bookmarkStart w:id="50" w:name="_Toc22000"/>
      <w:bookmarkStart w:id="51" w:name="_Toc31422"/>
      <w:bookmarkStart w:id="52" w:name="_Toc80006081"/>
      <w:r>
        <w:rPr>
          <w:rFonts w:hint="eastAsia" w:ascii="宋体" w:hAnsi="宋体" w:eastAsia="宋体" w:cs="宋体"/>
          <w:b/>
          <w:bCs/>
          <w:color w:val="auto"/>
          <w:sz w:val="30"/>
          <w:highlight w:val="none"/>
        </w:rPr>
        <w:t>2.资格要求</w:t>
      </w:r>
      <w:bookmarkEnd w:id="45"/>
      <w:bookmarkEnd w:id="46"/>
      <w:bookmarkEnd w:id="47"/>
      <w:bookmarkEnd w:id="48"/>
      <w:bookmarkEnd w:id="49"/>
      <w:bookmarkEnd w:id="50"/>
      <w:bookmarkEnd w:id="51"/>
      <w:bookmarkEnd w:id="52"/>
    </w:p>
    <w:p w14:paraId="18B2A62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2.1具有独立法人资格并依法取得企业营业执照，营业执照处于有效期； </w:t>
      </w:r>
    </w:p>
    <w:p w14:paraId="5CD0D15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2.2具备住房城乡建设主管部门颁发的</w:t>
      </w:r>
      <w:r>
        <w:rPr>
          <w:rFonts w:hint="eastAsia" w:ascii="宋体" w:hAnsi="宋体" w:eastAsia="宋体" w:cs="宋体"/>
          <w:color w:val="auto"/>
          <w:highlight w:val="none"/>
          <w:u w:val="single"/>
        </w:rPr>
        <w:t xml:space="preserve"> 建筑工程施工总承包三级</w:t>
      </w:r>
      <w:r>
        <w:rPr>
          <w:rFonts w:hint="eastAsia" w:ascii="宋体" w:hAnsi="宋体" w:cs="宋体"/>
          <w:color w:val="auto"/>
          <w:szCs w:val="21"/>
          <w:highlight w:val="none"/>
          <w:u w:val="single"/>
          <w:lang w:val="en-US" w:eastAsia="zh-CN"/>
        </w:rPr>
        <w:t>及以上</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资质，</w:t>
      </w:r>
      <w:r>
        <w:rPr>
          <w:rFonts w:hint="eastAsia" w:ascii="宋体" w:hAnsi="宋体" w:eastAsia="宋体" w:cs="宋体"/>
          <w:color w:val="auto"/>
          <w:highlight w:val="none"/>
          <w:u w:val="single"/>
        </w:rPr>
        <w:t>安全生产许可证处于有效期</w:t>
      </w:r>
      <w:r>
        <w:rPr>
          <w:rFonts w:hint="eastAsia" w:ascii="宋体" w:hAnsi="宋体" w:eastAsia="宋体" w:cs="宋体"/>
          <w:color w:val="auto"/>
          <w:highlight w:val="none"/>
        </w:rPr>
        <w:t>；</w:t>
      </w:r>
    </w:p>
    <w:p w14:paraId="5A5D3B4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2.3拟任项目经理具备</w:t>
      </w:r>
      <w:r>
        <w:rPr>
          <w:rFonts w:hint="eastAsia" w:ascii="宋体" w:hAnsi="宋体" w:cs="宋体"/>
          <w:color w:val="auto"/>
          <w:szCs w:val="21"/>
          <w:highlight w:val="none"/>
          <w:u w:val="single"/>
          <w:lang w:val="en-US" w:eastAsia="zh-CN"/>
        </w:rPr>
        <w:t>建筑工程</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专业</w:t>
      </w:r>
      <w:r>
        <w:rPr>
          <w:rFonts w:hint="eastAsia" w:ascii="宋体" w:hAnsi="宋体" w:eastAsia="宋体" w:cs="宋体"/>
          <w:color w:val="auto"/>
          <w:highlight w:val="none"/>
          <w:u w:val="single"/>
        </w:rPr>
        <w:t xml:space="preserve"> </w:t>
      </w:r>
      <w:r>
        <w:rPr>
          <w:rFonts w:hint="eastAsia" w:ascii="宋体" w:hAnsi="宋体" w:eastAsia="宋体" w:cs="宋体"/>
          <w:color w:val="auto"/>
          <w:szCs w:val="21"/>
          <w:highlight w:val="none"/>
          <w:u w:val="single"/>
          <w:lang w:val="en-US" w:eastAsia="zh-CN"/>
        </w:rPr>
        <w:t>贰级及以上注册建造师执业</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资格，具备项目负责人安全生产考核合格证书；</w:t>
      </w:r>
    </w:p>
    <w:p w14:paraId="37508C4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本次招标 </w:t>
      </w:r>
      <w:r>
        <w:rPr>
          <w:rFonts w:hint="eastAsia" w:ascii="宋体" w:hAnsi="宋体" w:eastAsia="宋体" w:cs="宋体"/>
          <w:color w:val="auto"/>
          <w:szCs w:val="21"/>
          <w:highlight w:val="none"/>
        </w:rPr>
        <w:sym w:font="Wingdings" w:char="006F"/>
      </w:r>
      <w:r>
        <w:rPr>
          <w:rFonts w:hint="eastAsia" w:ascii="宋体" w:hAnsi="宋体" w:eastAsia="宋体" w:cs="宋体"/>
          <w:color w:val="auto"/>
          <w:highlight w:val="none"/>
        </w:rPr>
        <w:t>接受联合体投标，联合体投标的相关要求见投标人须知前附表</w:t>
      </w:r>
    </w:p>
    <w:p w14:paraId="0087B57B">
      <w:pPr>
        <w:spacing w:line="360" w:lineRule="auto"/>
        <w:ind w:firstLine="1890" w:firstLineChars="900"/>
        <w:rPr>
          <w:rFonts w:hint="eastAsia" w:ascii="宋体" w:hAnsi="宋体" w:eastAsia="宋体" w:cs="宋体"/>
          <w:color w:val="auto"/>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highlight w:val="none"/>
        </w:rPr>
        <w:t>不接受联合体投标；</w:t>
      </w:r>
    </w:p>
    <w:p w14:paraId="7F9648E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投标人可以就本招标项目上述标段中的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个标段投标，但最多允许中标</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个标段（适用于分标段的招标项目）；</w:t>
      </w:r>
    </w:p>
    <w:p w14:paraId="6033B95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类似工程业绩要求：</w:t>
      </w:r>
    </w:p>
    <w:p w14:paraId="0C8C887C">
      <w:pPr>
        <w:spacing w:line="360" w:lineRule="auto"/>
        <w:ind w:firstLine="630" w:firstLineChars="300"/>
        <w:rPr>
          <w:rFonts w:hint="eastAsia" w:ascii="宋体" w:hAnsi="宋体" w:eastAsia="宋体" w:cs="宋体"/>
          <w:color w:val="auto"/>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 xml:space="preserve"> 不要求，</w:t>
      </w:r>
    </w:p>
    <w:p w14:paraId="6B9633B8">
      <w:pPr>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 要求，（由招标人在以下工程业绩中勾选一项）</w:t>
      </w:r>
    </w:p>
    <w:p w14:paraId="4A12B0E4">
      <w:pPr>
        <w:spacing w:line="360" w:lineRule="auto"/>
        <w:ind w:firstLine="630" w:firstLineChars="300"/>
        <w:rPr>
          <w:rFonts w:hint="eastAsia" w:ascii="宋体" w:hAnsi="宋体" w:eastAsia="宋体" w:cs="宋体"/>
          <w:color w:val="auto"/>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highlight w:val="none"/>
        </w:rPr>
        <w:t xml:space="preserve">企业承担过1项类似工程；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 </w:t>
      </w:r>
      <w:r>
        <w:rPr>
          <w:rFonts w:hint="eastAsia" w:ascii="宋体" w:hAnsi="宋体" w:eastAsia="宋体" w:cs="宋体"/>
          <w:color w:val="auto"/>
          <w:highlight w:val="none"/>
        </w:rPr>
        <w:t xml:space="preserve">拟任项目经理承担过1项类似工程 </w:t>
      </w:r>
    </w:p>
    <w:p w14:paraId="164D730E">
      <w:pPr>
        <w:keepNext w:val="0"/>
        <w:keepLines w:val="0"/>
        <w:pageBreakBefore w:val="0"/>
        <w:widowControl w:val="0"/>
        <w:kinsoku/>
        <w:wordWrap/>
        <w:overflowPunct/>
        <w:topLinePunct w:val="0"/>
        <w:autoSpaceDE/>
        <w:autoSpaceDN/>
        <w:bidi w:val="0"/>
        <w:adjustRightInd/>
        <w:snapToGrid/>
        <w:spacing w:before="130" w:line="360" w:lineRule="auto"/>
        <w:ind w:left="425"/>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其他要求：1.项目其它关键岗位人员应满足湖南省住建厅“湘建建[2020]208 号”文件要求。2.项目关键岗位人员必须是投标企业在职人员且无在建工程。3.技术负责人、施工员、安全员、质量员采用承诺制。不再进行资格审查(相关要求详见招标文件) 。4.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p w14:paraId="6D714F19">
      <w:pPr>
        <w:snapToGrid w:val="0"/>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投标人资格具体要求详见第二章投标人须知前附表。</w:t>
      </w:r>
    </w:p>
    <w:p w14:paraId="27F319FB">
      <w:pPr>
        <w:pStyle w:val="8"/>
        <w:spacing w:before="0" w:after="0" w:line="360" w:lineRule="auto"/>
        <w:rPr>
          <w:rFonts w:hint="eastAsia" w:ascii="Times New Roman" w:hAnsi="Times New Roman" w:eastAsia="黑体"/>
          <w:b w:val="0"/>
          <w:bCs w:val="0"/>
          <w:color w:val="auto"/>
          <w:sz w:val="30"/>
          <w:highlight w:val="none"/>
        </w:rPr>
      </w:pPr>
      <w:bookmarkStart w:id="53" w:name="_Toc9178497"/>
      <w:bookmarkStart w:id="54" w:name="_Toc29282"/>
      <w:bookmarkStart w:id="55" w:name="_Toc14584"/>
      <w:bookmarkStart w:id="56" w:name="_Toc9689"/>
      <w:bookmarkStart w:id="57" w:name="_Toc18954"/>
      <w:bookmarkStart w:id="58" w:name="_Toc80006071"/>
      <w:bookmarkStart w:id="59" w:name="_Toc80006181"/>
      <w:r>
        <w:rPr>
          <w:rFonts w:hint="eastAsia" w:ascii="Times New Roman" w:hAnsi="Times New Roman" w:eastAsia="黑体"/>
          <w:b w:val="0"/>
          <w:bCs w:val="0"/>
          <w:color w:val="auto"/>
          <w:sz w:val="30"/>
          <w:highlight w:val="none"/>
        </w:rPr>
        <w:t>3</w:t>
      </w:r>
      <w:r>
        <w:rPr>
          <w:rFonts w:ascii="Times New Roman" w:hAnsi="Times New Roman" w:eastAsia="黑体"/>
          <w:b w:val="0"/>
          <w:bCs w:val="0"/>
          <w:color w:val="auto"/>
          <w:sz w:val="30"/>
          <w:highlight w:val="none"/>
        </w:rPr>
        <w:t>.资格审查</w:t>
      </w:r>
      <w:bookmarkEnd w:id="53"/>
      <w:bookmarkEnd w:id="54"/>
      <w:bookmarkEnd w:id="55"/>
      <w:bookmarkEnd w:id="56"/>
      <w:bookmarkEnd w:id="57"/>
      <w:bookmarkEnd w:id="58"/>
      <w:bookmarkEnd w:id="59"/>
    </w:p>
    <w:p w14:paraId="5A38FEE2">
      <w:pPr>
        <w:snapToGrid w:val="0"/>
        <w:spacing w:line="360" w:lineRule="auto"/>
        <w:ind w:firstLine="315" w:firstLineChars="150"/>
        <w:rPr>
          <w:rFonts w:hint="eastAsia"/>
          <w:color w:val="auto"/>
          <w:highlight w:val="none"/>
        </w:rPr>
      </w:pPr>
      <w:bookmarkStart w:id="60" w:name="_Toc9178302"/>
      <w:bookmarkStart w:id="61" w:name="_Toc9189272"/>
      <w:bookmarkStart w:id="62" w:name="_Toc9178498"/>
      <w:bookmarkStart w:id="63" w:name="_Toc9188856"/>
      <w:bookmarkStart w:id="64" w:name="_Toc9178161"/>
      <w:bookmarkStart w:id="65" w:name="_Toc21505371"/>
      <w:r>
        <w:rPr>
          <w:rFonts w:hint="eastAsia"/>
          <w:color w:val="auto"/>
          <w:highlight w:val="none"/>
        </w:rPr>
        <w:t>采用</w:t>
      </w:r>
      <w:bookmarkEnd w:id="60"/>
      <w:bookmarkEnd w:id="61"/>
      <w:bookmarkEnd w:id="62"/>
      <w:bookmarkEnd w:id="63"/>
      <w:bookmarkEnd w:id="64"/>
      <w:bookmarkStart w:id="66" w:name="_Toc9178162"/>
      <w:bookmarkStart w:id="67" w:name="_Toc9189273"/>
      <w:bookmarkStart w:id="68" w:name="_Toc9178499"/>
      <w:bookmarkStart w:id="69" w:name="_Toc9178303"/>
      <w:bookmarkStart w:id="70" w:name="_Toc9188857"/>
      <w:r>
        <w:rPr>
          <w:rFonts w:hint="eastAsia"/>
          <w:color w:val="auto"/>
          <w:highlight w:val="none"/>
        </w:rPr>
        <w:t>资格后审方式</w:t>
      </w:r>
      <w:bookmarkEnd w:id="65"/>
      <w:bookmarkEnd w:id="66"/>
      <w:bookmarkEnd w:id="67"/>
      <w:bookmarkEnd w:id="68"/>
      <w:bookmarkEnd w:id="69"/>
      <w:bookmarkEnd w:id="70"/>
    </w:p>
    <w:p w14:paraId="7817F2F6">
      <w:pPr>
        <w:pStyle w:val="8"/>
        <w:spacing w:before="0" w:after="0" w:line="360" w:lineRule="auto"/>
        <w:rPr>
          <w:rFonts w:ascii="Times New Roman" w:hAnsi="Times New Roman" w:eastAsia="黑体"/>
          <w:b w:val="0"/>
          <w:bCs w:val="0"/>
          <w:color w:val="auto"/>
          <w:sz w:val="30"/>
          <w:highlight w:val="none"/>
        </w:rPr>
      </w:pPr>
      <w:bookmarkStart w:id="71" w:name="_Toc340"/>
      <w:bookmarkStart w:id="72" w:name="_Toc19118"/>
      <w:bookmarkStart w:id="73" w:name="_Toc80006072"/>
      <w:bookmarkStart w:id="74" w:name="_Toc300677967"/>
      <w:bookmarkStart w:id="75" w:name="_Toc9"/>
      <w:bookmarkStart w:id="76" w:name="_Toc896"/>
      <w:bookmarkStart w:id="77" w:name="_Toc80006182"/>
      <w:bookmarkStart w:id="78" w:name="_Toc9178500"/>
      <w:r>
        <w:rPr>
          <w:rFonts w:ascii="Times New Roman" w:hAnsi="Times New Roman" w:eastAsia="黑体"/>
          <w:b w:val="0"/>
          <w:bCs w:val="0"/>
          <w:color w:val="auto"/>
          <w:sz w:val="30"/>
          <w:highlight w:val="none"/>
        </w:rPr>
        <w:t>4.评标办法</w:t>
      </w:r>
      <w:bookmarkEnd w:id="71"/>
      <w:bookmarkEnd w:id="72"/>
      <w:bookmarkEnd w:id="73"/>
      <w:bookmarkEnd w:id="74"/>
      <w:bookmarkEnd w:id="75"/>
      <w:bookmarkEnd w:id="76"/>
      <w:bookmarkEnd w:id="77"/>
      <w:bookmarkEnd w:id="78"/>
    </w:p>
    <w:p w14:paraId="0BEEE854">
      <w:pPr>
        <w:snapToGrid w:val="0"/>
        <w:spacing w:line="360" w:lineRule="auto"/>
        <w:ind w:firstLine="315" w:firstLineChars="150"/>
        <w:rPr>
          <w:rFonts w:hint="eastAsia"/>
          <w:color w:val="auto"/>
        </w:rPr>
      </w:pPr>
      <w:r>
        <w:rPr>
          <w:rFonts w:hint="eastAsia"/>
          <w:color w:val="auto"/>
          <w:highlight w:val="none"/>
        </w:rPr>
        <w:t>本招标项目采用湘建监督</w:t>
      </w:r>
      <w:r>
        <w:rPr>
          <w:color w:val="auto"/>
          <w:highlight w:val="none"/>
        </w:rPr>
        <w:t>〔</w:t>
      </w:r>
      <w:r>
        <w:rPr>
          <w:rFonts w:hint="eastAsia"/>
          <w:color w:val="auto"/>
          <w:highlight w:val="none"/>
          <w:lang w:val="en-US" w:eastAsia="zh-CN"/>
        </w:rPr>
        <w:t>2024</w:t>
      </w:r>
      <w:r>
        <w:rPr>
          <w:color w:val="auto"/>
          <w:highlight w:val="none"/>
        </w:rPr>
        <w:t>〕</w:t>
      </w:r>
      <w:r>
        <w:rPr>
          <w:rFonts w:hint="eastAsia"/>
          <w:color w:val="auto"/>
          <w:highlight w:val="none"/>
          <w:lang w:val="en-US" w:eastAsia="zh-CN"/>
        </w:rPr>
        <w:t xml:space="preserve">33 </w:t>
      </w:r>
      <w:r>
        <w:rPr>
          <w:rFonts w:hint="eastAsia"/>
          <w:color w:val="auto"/>
          <w:highlight w:val="none"/>
        </w:rPr>
        <w:t>号文件规定的：</w:t>
      </w:r>
      <w:r>
        <w:rPr>
          <w:rFonts w:hint="eastAsia"/>
          <w:color w:val="auto"/>
          <w:highlight w:val="none"/>
        </w:rPr>
        <w:sym w:font="Wingdings" w:char="00FE"/>
      </w:r>
      <w:r>
        <w:rPr>
          <w:color w:val="auto"/>
          <w:highlight w:val="none"/>
        </w:rPr>
        <w:t>经评审的最低投标价法；</w:t>
      </w:r>
      <w:r>
        <w:rPr>
          <w:rFonts w:hint="eastAsia"/>
          <w:color w:val="auto"/>
          <w:highlight w:val="none"/>
        </w:rPr>
        <w:sym w:font="Wingdings" w:char="006F"/>
      </w:r>
      <w:r>
        <w:rPr>
          <w:color w:val="auto"/>
          <w:highlight w:val="none"/>
        </w:rPr>
        <w:t>综合评估法。</w:t>
      </w:r>
    </w:p>
    <w:p w14:paraId="50609393">
      <w:pPr>
        <w:pStyle w:val="8"/>
        <w:spacing w:before="0" w:after="0" w:line="360" w:lineRule="auto"/>
        <w:rPr>
          <w:rFonts w:hint="eastAsia" w:ascii="Times New Roman" w:hAnsi="Times New Roman" w:eastAsia="黑体"/>
          <w:b w:val="0"/>
          <w:bCs w:val="0"/>
          <w:color w:val="auto"/>
          <w:sz w:val="30"/>
          <w:lang w:val="en-US" w:eastAsia="zh-CN"/>
        </w:rPr>
      </w:pPr>
      <w:bookmarkStart w:id="79" w:name="_Toc80006192"/>
      <w:bookmarkStart w:id="80" w:name="_Toc6487"/>
      <w:bookmarkStart w:id="81" w:name="_Toc10864"/>
      <w:bookmarkStart w:id="82" w:name="_Toc9178510"/>
      <w:bookmarkStart w:id="83" w:name="_Toc5338"/>
      <w:bookmarkStart w:id="84" w:name="_Toc80006082"/>
      <w:bookmarkStart w:id="85" w:name="_Toc2631"/>
      <w:bookmarkStart w:id="86" w:name="_Toc15097"/>
      <w:bookmarkStart w:id="87" w:name="_Toc300677990"/>
      <w:r>
        <w:rPr>
          <w:rFonts w:hint="eastAsia" w:ascii="Times New Roman" w:hAnsi="Times New Roman" w:eastAsia="黑体"/>
          <w:b w:val="0"/>
          <w:bCs w:val="0"/>
          <w:color w:val="auto"/>
          <w:sz w:val="30"/>
          <w:lang w:val="en-US" w:eastAsia="zh-CN"/>
        </w:rPr>
        <w:t>5.招标文件的获取</w:t>
      </w:r>
      <w:bookmarkEnd w:id="79"/>
      <w:bookmarkEnd w:id="80"/>
      <w:bookmarkEnd w:id="81"/>
      <w:bookmarkEnd w:id="82"/>
      <w:bookmarkEnd w:id="83"/>
      <w:bookmarkEnd w:id="84"/>
      <w:bookmarkEnd w:id="85"/>
      <w:bookmarkEnd w:id="86"/>
      <w:bookmarkEnd w:id="87"/>
    </w:p>
    <w:p w14:paraId="715496E2">
      <w:pPr>
        <w:spacing w:line="360" w:lineRule="auto"/>
        <w:ind w:firstLine="420" w:firstLineChars="200"/>
        <w:rPr>
          <w:rFonts w:hint="eastAsia" w:ascii="Times New Roman" w:hAnsi="Times New Roman" w:eastAsia="宋体" w:cs="Times New Roman"/>
          <w:color w:val="auto"/>
        </w:rPr>
      </w:pPr>
      <w:bookmarkStart w:id="88" w:name="_Toc2072"/>
      <w:bookmarkStart w:id="89" w:name="_Toc9178511"/>
      <w:bookmarkStart w:id="90" w:name="_Toc300677991"/>
      <w:r>
        <w:rPr>
          <w:rFonts w:hint="eastAsia" w:ascii="Times New Roman" w:hAnsi="Times New Roman" w:eastAsia="宋体" w:cs="Times New Roman"/>
          <w:color w:val="auto"/>
          <w:lang w:val="en-US" w:eastAsia="zh-CN"/>
        </w:rPr>
        <w:t>5.1</w:t>
      </w:r>
      <w:r>
        <w:rPr>
          <w:rFonts w:hint="eastAsia" w:ascii="Times New Roman" w:hAnsi="Times New Roman" w:eastAsia="宋体" w:cs="Times New Roman"/>
          <w:color w:val="auto"/>
        </w:rPr>
        <w:t>请在江华瑶族自治县人民政府网进行下载获取招标文件、施工图及工程量清单，施工图和工程量清单为招标文件的有效组成部分。如有修改，于提交投标文件截止时间前3日在江华瑶族自治县人民政府网上发布，敬请投标单位关注，如有遗漏招标人概不负责。</w:t>
      </w:r>
    </w:p>
    <w:p w14:paraId="20B6E506">
      <w:pPr>
        <w:spacing w:line="360" w:lineRule="auto"/>
        <w:ind w:firstLine="420"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5.2招标文件每套售价400元，递交投标文件时缴纳，否则拒绝接受其投标文件。招标文件售后不退。</w:t>
      </w:r>
    </w:p>
    <w:p w14:paraId="69F68656">
      <w:pPr>
        <w:pStyle w:val="8"/>
        <w:spacing w:before="0" w:after="0" w:line="360" w:lineRule="auto"/>
        <w:rPr>
          <w:rFonts w:hint="eastAsia" w:ascii="Times New Roman" w:hAnsi="Times New Roman" w:eastAsia="黑体"/>
          <w:b w:val="0"/>
          <w:bCs w:val="0"/>
          <w:color w:val="auto"/>
          <w:sz w:val="30"/>
        </w:rPr>
      </w:pPr>
      <w:bookmarkStart w:id="91" w:name="_Toc20897"/>
      <w:bookmarkStart w:id="92" w:name="_Toc26095"/>
      <w:bookmarkStart w:id="93" w:name="_Toc18086"/>
      <w:bookmarkStart w:id="94" w:name="_Toc18094"/>
      <w:r>
        <w:rPr>
          <w:rFonts w:hint="eastAsia" w:ascii="Times New Roman" w:hAnsi="Times New Roman" w:eastAsia="黑体"/>
          <w:b w:val="0"/>
          <w:bCs w:val="0"/>
          <w:color w:val="auto"/>
          <w:sz w:val="30"/>
          <w:lang w:val="en-US" w:eastAsia="zh-CN"/>
        </w:rPr>
        <w:t>6</w:t>
      </w:r>
      <w:r>
        <w:rPr>
          <w:rFonts w:hint="eastAsia" w:ascii="Times New Roman" w:hAnsi="Times New Roman" w:eastAsia="黑体"/>
          <w:b w:val="0"/>
          <w:bCs w:val="0"/>
          <w:color w:val="auto"/>
          <w:sz w:val="30"/>
        </w:rPr>
        <w:t>.投标文件的递交</w:t>
      </w:r>
      <w:bookmarkEnd w:id="88"/>
      <w:bookmarkEnd w:id="89"/>
      <w:bookmarkEnd w:id="90"/>
      <w:bookmarkEnd w:id="91"/>
      <w:bookmarkEnd w:id="92"/>
      <w:bookmarkEnd w:id="93"/>
      <w:bookmarkEnd w:id="94"/>
    </w:p>
    <w:p w14:paraId="1F9CB7E0">
      <w:pPr>
        <w:spacing w:line="360" w:lineRule="auto"/>
        <w:ind w:left="199" w:leftChars="95" w:firstLine="210" w:firstLineChars="100"/>
        <w:rPr>
          <w:rFonts w:hint="eastAsia" w:ascii="Times New Roman" w:hAnsi="Times New Roman" w:eastAsia="宋体" w:cs="Times New Roman"/>
          <w:color w:val="auto"/>
        </w:rPr>
      </w:pPr>
      <w:bookmarkStart w:id="95" w:name="_Toc80006084"/>
      <w:bookmarkStart w:id="96" w:name="_Toc300677993"/>
      <w:bookmarkStart w:id="97" w:name="_Toc80006194"/>
      <w:bookmarkStart w:id="98" w:name="_Toc28103"/>
      <w:bookmarkStart w:id="99" w:name="_Toc9178513"/>
      <w:r>
        <w:rPr>
          <w:rFonts w:hint="eastAsia" w:ascii="Times New Roman" w:hAnsi="Times New Roman" w:eastAsia="宋体" w:cs="Times New Roman"/>
          <w:color w:val="auto"/>
        </w:rPr>
        <w:t>6.1投标文件递交的截止时间（投标截止时间，下同）为 202</w:t>
      </w:r>
      <w:r>
        <w:rPr>
          <w:rFonts w:hint="eastAsia" w:cs="Times New Roman"/>
          <w:color w:val="auto"/>
          <w:lang w:val="en-US" w:eastAsia="zh-CN"/>
        </w:rPr>
        <w:t>5</w:t>
      </w:r>
      <w:r>
        <w:rPr>
          <w:rFonts w:hint="eastAsia" w:ascii="Times New Roman" w:hAnsi="Times New Roman" w:eastAsia="宋体" w:cs="Times New Roman"/>
          <w:color w:val="auto"/>
        </w:rPr>
        <w:t>年</w:t>
      </w:r>
      <w:r>
        <w:rPr>
          <w:rFonts w:hint="eastAsia" w:cs="Times New Roman"/>
          <w:color w:val="auto"/>
          <w:lang w:val="en-US" w:eastAsia="zh-CN"/>
        </w:rPr>
        <w:t>01</w:t>
      </w:r>
      <w:r>
        <w:rPr>
          <w:rFonts w:hint="eastAsia" w:ascii="Times New Roman" w:hAnsi="Times New Roman" w:eastAsia="宋体" w:cs="Times New Roman"/>
          <w:color w:val="auto"/>
        </w:rPr>
        <w:t>月</w:t>
      </w:r>
      <w:r>
        <w:rPr>
          <w:rFonts w:hint="eastAsia" w:cs="Times New Roman"/>
          <w:color w:val="auto"/>
          <w:lang w:val="en-US" w:eastAsia="zh-CN"/>
        </w:rPr>
        <w:t>27</w:t>
      </w:r>
      <w:r>
        <w:rPr>
          <w:rFonts w:hint="eastAsia" w:ascii="Times New Roman" w:hAnsi="Times New Roman" w:eastAsia="宋体" w:cs="Times New Roman"/>
          <w:color w:val="auto"/>
        </w:rPr>
        <w:t>日</w:t>
      </w:r>
      <w:r>
        <w:rPr>
          <w:rFonts w:hint="eastAsia" w:cs="Times New Roman"/>
          <w:color w:val="auto"/>
          <w:lang w:val="en-US" w:eastAsia="zh-CN"/>
        </w:rPr>
        <w:t>09</w:t>
      </w:r>
      <w:r>
        <w:rPr>
          <w:rFonts w:hint="eastAsia" w:ascii="Times New Roman" w:hAnsi="Times New Roman" w:eastAsia="宋体" w:cs="Times New Roman"/>
          <w:color w:val="auto"/>
        </w:rPr>
        <w:t>时</w:t>
      </w:r>
      <w:r>
        <w:rPr>
          <w:rFonts w:hint="eastAsia" w:cs="Times New Roman"/>
          <w:color w:val="auto"/>
          <w:lang w:val="en-US" w:eastAsia="zh-CN"/>
        </w:rPr>
        <w:t>30</w:t>
      </w:r>
      <w:r>
        <w:rPr>
          <w:rFonts w:hint="eastAsia" w:ascii="Times New Roman" w:hAnsi="Times New Roman" w:eastAsia="宋体" w:cs="Times New Roman"/>
          <w:color w:val="auto"/>
        </w:rPr>
        <w:t>分（北京时间），地点为江华瑶族自治县重点项目服务中心（江华瑶族自治县交通警察大队综合楼7楼）。</w:t>
      </w:r>
    </w:p>
    <w:p w14:paraId="6D03018B">
      <w:pPr>
        <w:spacing w:line="360" w:lineRule="auto"/>
        <w:ind w:left="199" w:leftChars="95" w:firstLine="210" w:firstLineChars="100"/>
        <w:rPr>
          <w:rFonts w:hint="eastAsia" w:ascii="Times New Roman" w:hAnsi="Times New Roman" w:eastAsia="宋体" w:cs="Times New Roman"/>
          <w:color w:val="auto"/>
        </w:rPr>
      </w:pPr>
      <w:r>
        <w:rPr>
          <w:rFonts w:hint="eastAsia" w:ascii="Times New Roman" w:hAnsi="Times New Roman" w:eastAsia="宋体" w:cs="Times New Roman"/>
          <w:color w:val="auto"/>
        </w:rPr>
        <w:t>6.2逾期送达或者未送达指定地点或未按要求密封和写标注的投标文件，招标人不予受理。</w:t>
      </w:r>
    </w:p>
    <w:p w14:paraId="1F3BDE43">
      <w:pPr>
        <w:spacing w:line="360" w:lineRule="auto"/>
        <w:ind w:left="199" w:leftChars="95" w:firstLine="210" w:firstLineChars="100"/>
        <w:rPr>
          <w:rFonts w:hint="eastAsia" w:ascii="Times New Roman" w:hAnsi="Times New Roman" w:eastAsia="宋体" w:cs="Times New Roman"/>
          <w:color w:val="auto"/>
        </w:rPr>
      </w:pPr>
      <w:r>
        <w:rPr>
          <w:rFonts w:hint="eastAsia" w:ascii="Times New Roman" w:hAnsi="Times New Roman" w:eastAsia="宋体" w:cs="Times New Roman"/>
          <w:color w:val="auto"/>
        </w:rPr>
        <w:t>6.3投标人必须由企业法定代表人或</w:t>
      </w:r>
      <w:r>
        <w:rPr>
          <w:rFonts w:hint="eastAsia" w:ascii="Times New Roman" w:hAnsi="Times New Roman" w:eastAsia="宋体" w:cs="Times New Roman"/>
          <w:color w:val="auto"/>
          <w:lang w:val="en-US" w:eastAsia="zh-CN"/>
        </w:rPr>
        <w:t>是本招标项目的拟任项目经理</w:t>
      </w:r>
      <w:r>
        <w:rPr>
          <w:rFonts w:hint="eastAsia" w:ascii="Times New Roman" w:hAnsi="Times New Roman" w:eastAsia="宋体" w:cs="Times New Roman"/>
          <w:color w:val="auto"/>
        </w:rPr>
        <w:t>到场参加投标，并出示第二代</w:t>
      </w:r>
    </w:p>
    <w:p w14:paraId="68BE9123">
      <w:pPr>
        <w:spacing w:line="360" w:lineRule="auto"/>
        <w:rPr>
          <w:rFonts w:hint="eastAsia" w:ascii="微软雅黑" w:hAnsi="微软雅黑" w:eastAsia="微软雅黑" w:cs="微软雅黑"/>
          <w:i w:val="0"/>
          <w:iCs w:val="0"/>
          <w:caps w:val="0"/>
          <w:color w:val="auto"/>
          <w:spacing w:val="0"/>
          <w:sz w:val="22"/>
          <w:szCs w:val="22"/>
        </w:rPr>
      </w:pPr>
      <w:r>
        <w:rPr>
          <w:rFonts w:hint="eastAsia" w:ascii="Times New Roman" w:hAnsi="Times New Roman" w:eastAsia="宋体" w:cs="Times New Roman"/>
          <w:color w:val="auto"/>
        </w:rPr>
        <w:t>身份证原件、法定代表身份证明或法定代表身份证明和授权委托书，否则招标人不予受理，投标无效。</w:t>
      </w:r>
    </w:p>
    <w:bookmarkEnd w:id="95"/>
    <w:bookmarkEnd w:id="96"/>
    <w:bookmarkEnd w:id="97"/>
    <w:bookmarkEnd w:id="98"/>
    <w:bookmarkEnd w:id="99"/>
    <w:p w14:paraId="1D8CA272">
      <w:pPr>
        <w:pStyle w:val="8"/>
        <w:spacing w:before="0" w:after="0" w:line="360" w:lineRule="auto"/>
        <w:rPr>
          <w:rFonts w:ascii="Times New Roman" w:hAnsi="Times New Roman" w:eastAsia="黑体"/>
          <w:b w:val="0"/>
          <w:bCs w:val="0"/>
          <w:color w:val="auto"/>
          <w:sz w:val="30"/>
        </w:rPr>
      </w:pPr>
      <w:bookmarkStart w:id="100" w:name="_Toc31521"/>
      <w:bookmarkStart w:id="101" w:name="_Toc21446"/>
      <w:bookmarkStart w:id="102" w:name="_Toc14876"/>
      <w:bookmarkStart w:id="103" w:name="_Toc3286"/>
      <w:bookmarkStart w:id="104" w:name="_Toc9178514"/>
      <w:bookmarkStart w:id="105" w:name="_Toc300677994"/>
      <w:bookmarkStart w:id="106" w:name="_Toc80006195"/>
      <w:bookmarkStart w:id="107" w:name="_Toc80006085"/>
      <w:bookmarkStart w:id="108" w:name="_Toc11990"/>
      <w:r>
        <w:rPr>
          <w:rFonts w:ascii="Times New Roman" w:hAnsi="Times New Roman" w:eastAsia="黑体"/>
          <w:b w:val="0"/>
          <w:bCs w:val="0"/>
          <w:color w:val="auto"/>
          <w:sz w:val="30"/>
        </w:rPr>
        <w:t>7.发布公告的媒介</w:t>
      </w:r>
      <w:bookmarkEnd w:id="100"/>
      <w:bookmarkEnd w:id="101"/>
      <w:bookmarkEnd w:id="102"/>
      <w:bookmarkEnd w:id="103"/>
    </w:p>
    <w:p w14:paraId="7BA35580">
      <w:pPr>
        <w:spacing w:line="360" w:lineRule="auto"/>
        <w:ind w:firstLine="420" w:firstLineChars="200"/>
        <w:rPr>
          <w:color w:val="auto"/>
        </w:rPr>
      </w:pPr>
      <w:r>
        <w:rPr>
          <w:color w:val="auto"/>
        </w:rPr>
        <w:t>本次招标公告同时在</w:t>
      </w:r>
      <w:r>
        <w:rPr>
          <w:rFonts w:hint="eastAsia" w:ascii="Times New Roman" w:hAnsi="Times New Roman" w:eastAsia="宋体" w:cs="Times New Roman"/>
          <w:color w:val="auto"/>
          <w:u w:val="single"/>
        </w:rPr>
        <w:t>江华瑶族自治县人民政府网</w:t>
      </w:r>
      <w:r>
        <w:rPr>
          <w:rFonts w:hint="eastAsia"/>
          <w:color w:val="auto"/>
          <w:u w:val="single"/>
        </w:rPr>
        <w:t xml:space="preserve">  </w:t>
      </w:r>
      <w:r>
        <w:rPr>
          <w:color w:val="auto"/>
        </w:rPr>
        <w:t>上发布。</w:t>
      </w:r>
    </w:p>
    <w:bookmarkEnd w:id="104"/>
    <w:bookmarkEnd w:id="105"/>
    <w:bookmarkEnd w:id="106"/>
    <w:bookmarkEnd w:id="107"/>
    <w:bookmarkEnd w:id="108"/>
    <w:p w14:paraId="0C9A3F1E">
      <w:pPr>
        <w:pStyle w:val="8"/>
        <w:spacing w:before="0" w:after="0" w:line="360" w:lineRule="auto"/>
        <w:rPr>
          <w:rFonts w:ascii="Times New Roman" w:hAnsi="Times New Roman" w:eastAsia="黑体"/>
          <w:b w:val="0"/>
          <w:bCs w:val="0"/>
          <w:color w:val="auto"/>
          <w:sz w:val="30"/>
        </w:rPr>
      </w:pPr>
      <w:bookmarkStart w:id="109" w:name="_Toc80006186"/>
      <w:bookmarkStart w:id="110" w:name="_Toc2551"/>
      <w:bookmarkStart w:id="111" w:name="_Toc1405"/>
      <w:bookmarkStart w:id="112" w:name="_Toc80006076"/>
      <w:bookmarkStart w:id="113" w:name="_Toc10888"/>
      <w:bookmarkStart w:id="114" w:name="_Toc9178504"/>
      <w:bookmarkStart w:id="115" w:name="_Toc300677968"/>
      <w:bookmarkStart w:id="116" w:name="_Toc8922"/>
      <w:bookmarkStart w:id="117" w:name="_Toc9178515"/>
      <w:bookmarkStart w:id="118" w:name="_Toc27618"/>
      <w:bookmarkStart w:id="119" w:name="_Toc80006086"/>
      <w:bookmarkStart w:id="120" w:name="_Toc80006196"/>
      <w:bookmarkStart w:id="121" w:name="_Toc300677995"/>
      <w:r>
        <w:rPr>
          <w:rFonts w:ascii="Times New Roman" w:hAnsi="Times New Roman" w:eastAsia="黑体"/>
          <w:b w:val="0"/>
          <w:bCs w:val="0"/>
          <w:color w:val="auto"/>
          <w:sz w:val="30"/>
        </w:rPr>
        <w:t>8.行政监督</w:t>
      </w:r>
      <w:bookmarkEnd w:id="109"/>
      <w:bookmarkEnd w:id="110"/>
      <w:bookmarkEnd w:id="111"/>
      <w:bookmarkEnd w:id="112"/>
      <w:bookmarkEnd w:id="113"/>
      <w:bookmarkEnd w:id="114"/>
      <w:bookmarkEnd w:id="115"/>
      <w:bookmarkEnd w:id="116"/>
    </w:p>
    <w:p w14:paraId="1FBBFCC3">
      <w:pPr>
        <w:snapToGrid w:val="0"/>
        <w:spacing w:line="360" w:lineRule="auto"/>
        <w:ind w:firstLine="420" w:firstLineChars="200"/>
        <w:rPr>
          <w:rFonts w:hint="eastAsia" w:eastAsia="宋体"/>
          <w:color w:val="auto"/>
          <w:szCs w:val="21"/>
          <w:u w:val="single"/>
          <w:lang w:eastAsia="zh-CN"/>
        </w:rPr>
      </w:pPr>
      <w:r>
        <w:rPr>
          <w:color w:val="auto"/>
          <w:szCs w:val="21"/>
        </w:rPr>
        <w:t>本次招标项目招标投标监督机构为</w:t>
      </w:r>
      <w:r>
        <w:rPr>
          <w:rFonts w:hint="eastAsia"/>
          <w:color w:val="auto"/>
          <w:szCs w:val="21"/>
          <w:u w:val="single"/>
        </w:rPr>
        <w:t>江华瑶族自治县科技和工业信息化局</w:t>
      </w:r>
      <w:r>
        <w:rPr>
          <w:color w:val="auto"/>
          <w:szCs w:val="21"/>
          <w:u w:val="single"/>
        </w:rPr>
        <w:t xml:space="preserve"> </w:t>
      </w:r>
      <w:r>
        <w:rPr>
          <w:rFonts w:hint="eastAsia"/>
          <w:color w:val="auto"/>
          <w:szCs w:val="21"/>
        </w:rPr>
        <w:t>，</w:t>
      </w:r>
      <w:r>
        <w:rPr>
          <w:color w:val="auto"/>
          <w:szCs w:val="21"/>
        </w:rPr>
        <w:t>电话</w:t>
      </w:r>
      <w:r>
        <w:rPr>
          <w:color w:val="auto"/>
          <w:szCs w:val="21"/>
          <w:u w:val="single"/>
        </w:rPr>
        <w:t xml:space="preserve">  </w:t>
      </w:r>
      <w:r>
        <w:rPr>
          <w:rFonts w:hint="eastAsia"/>
          <w:color w:val="auto"/>
          <w:szCs w:val="21"/>
          <w:u w:val="single"/>
        </w:rPr>
        <w:t>0746-2323316</w:t>
      </w:r>
      <w:r>
        <w:rPr>
          <w:rFonts w:hint="eastAsia"/>
          <w:color w:val="auto"/>
          <w:szCs w:val="21"/>
          <w:u w:val="single"/>
          <w:lang w:eastAsia="zh-CN"/>
        </w:rPr>
        <w:t>。</w:t>
      </w:r>
    </w:p>
    <w:p w14:paraId="1B0C1934">
      <w:pPr>
        <w:pStyle w:val="8"/>
        <w:spacing w:before="0" w:after="0" w:line="360" w:lineRule="auto"/>
        <w:rPr>
          <w:rFonts w:ascii="Times New Roman" w:hAnsi="Times New Roman" w:eastAsia="黑体"/>
          <w:b w:val="0"/>
          <w:bCs w:val="0"/>
          <w:color w:val="auto"/>
          <w:sz w:val="30"/>
        </w:rPr>
      </w:pPr>
      <w:bookmarkStart w:id="122" w:name="_Toc29730"/>
      <w:bookmarkStart w:id="123" w:name="_Toc9942"/>
      <w:bookmarkStart w:id="124" w:name="_Toc9178505"/>
      <w:bookmarkStart w:id="125" w:name="_Toc80006077"/>
      <w:bookmarkStart w:id="126" w:name="_Toc19328"/>
      <w:bookmarkStart w:id="127" w:name="_Toc80006187"/>
      <w:bookmarkStart w:id="128" w:name="_Toc7505"/>
      <w:bookmarkStart w:id="129" w:name="_Toc300677970"/>
      <w:r>
        <w:rPr>
          <w:rFonts w:ascii="Times New Roman" w:hAnsi="Times New Roman" w:eastAsia="黑体"/>
          <w:b w:val="0"/>
          <w:bCs w:val="0"/>
          <w:color w:val="auto"/>
          <w:sz w:val="30"/>
        </w:rPr>
        <w:t>9.其它</w:t>
      </w:r>
      <w:bookmarkEnd w:id="122"/>
      <w:bookmarkEnd w:id="123"/>
      <w:bookmarkEnd w:id="124"/>
      <w:bookmarkEnd w:id="125"/>
      <w:bookmarkEnd w:id="126"/>
      <w:bookmarkEnd w:id="127"/>
      <w:bookmarkEnd w:id="128"/>
      <w:bookmarkEnd w:id="129"/>
    </w:p>
    <w:p w14:paraId="23E2B5FB">
      <w:pPr>
        <w:spacing w:line="360" w:lineRule="auto"/>
        <w:ind w:left="0" w:leftChars="0" w:firstLine="420" w:firstLineChars="200"/>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9.1</w:t>
      </w:r>
      <w:r>
        <w:rPr>
          <w:rFonts w:hint="eastAsia" w:ascii="Times New Roman" w:hAnsi="Times New Roman" w:eastAsia="宋体" w:cs="Times New Roman"/>
          <w:color w:val="auto"/>
          <w:lang w:val="en-US" w:eastAsia="zh-CN"/>
        </w:rPr>
        <w:t>各单位不得采取挂靠、代为投标等弄虚作假手段，不得围标、串标，一经发现，立即取消其投标资格，如果中标，中标一律无效，并赔偿招标人的全部损失。</w:t>
      </w:r>
    </w:p>
    <w:p w14:paraId="2FCD5461">
      <w:pPr>
        <w:spacing w:line="360" w:lineRule="auto"/>
        <w:ind w:left="0" w:leftChars="0" w:firstLine="420" w:firstLineChars="200"/>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9.2</w:t>
      </w:r>
      <w:r>
        <w:rPr>
          <w:rFonts w:hint="eastAsia" w:ascii="Times New Roman" w:hAnsi="Times New Roman" w:eastAsia="宋体" w:cs="Times New Roman"/>
          <w:color w:val="auto"/>
          <w:lang w:val="en-US" w:eastAsia="zh-CN"/>
        </w:rPr>
        <w:t>投标人在投标文件中有隐瞒事实、弄虚作假的行为，或有不按招标文件的要求如实提供有关情况、文件、证明等资料的行为，或所提供的有关情况、文件、证明等资料与经查实的事实不符的行为，且上述行为对该投标人有利的，按照不合格投标人处理。已被列为中标候选人的，取消其中标候选人资格。</w:t>
      </w:r>
    </w:p>
    <w:p w14:paraId="11D4D50A">
      <w:pPr>
        <w:spacing w:line="360" w:lineRule="auto"/>
        <w:ind w:left="0" w:leftChars="0" w:firstLine="420" w:firstLineChars="200"/>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9.3</w:t>
      </w:r>
      <w:r>
        <w:rPr>
          <w:rFonts w:hint="eastAsia" w:ascii="Times New Roman" w:hAnsi="Times New Roman" w:eastAsia="宋体" w:cs="Times New Roman"/>
          <w:color w:val="auto"/>
          <w:lang w:val="en-US" w:eastAsia="zh-CN"/>
        </w:rPr>
        <w:t>中标人在收到中标通知书后</w:t>
      </w:r>
      <w:r>
        <w:rPr>
          <w:rFonts w:hint="default" w:ascii="Times New Roman" w:hAnsi="Times New Roman" w:eastAsia="宋体" w:cs="Times New Roman"/>
          <w:color w:val="auto"/>
          <w:lang w:val="en-US" w:eastAsia="zh-CN"/>
        </w:rPr>
        <w:t>3</w:t>
      </w:r>
      <w:r>
        <w:rPr>
          <w:rFonts w:hint="eastAsia" w:ascii="Times New Roman" w:hAnsi="Times New Roman" w:eastAsia="宋体" w:cs="Times New Roman"/>
          <w:color w:val="auto"/>
          <w:lang w:val="en-US" w:eastAsia="zh-CN"/>
        </w:rPr>
        <w:t>天内，必须与招标人签订施工合同，因非招标人原因未能签订合同的，视为中标人自愿放弃中标资格，按中标候选人得分高低依次替补。</w:t>
      </w:r>
    </w:p>
    <w:p w14:paraId="04BBD66A">
      <w:pPr>
        <w:spacing w:line="360" w:lineRule="auto"/>
        <w:ind w:left="0" w:leftChars="0" w:firstLine="420" w:firstLineChars="200"/>
        <w:rPr>
          <w:rFonts w:hint="eastAsia"/>
          <w:color w:val="auto"/>
          <w:szCs w:val="21"/>
        </w:rPr>
      </w:pPr>
      <w:r>
        <w:rPr>
          <w:rFonts w:hint="eastAsia" w:ascii="Times New Roman" w:hAnsi="Times New Roman" w:eastAsia="宋体" w:cs="Times New Roman"/>
          <w:color w:val="auto"/>
          <w:lang w:val="en-US" w:eastAsia="zh-CN"/>
        </w:rPr>
        <w:t>9.5材料调差：投标人根据招标人提供的工程量清单自行调整价格报价。中标后如主要原材料价格发生波动变化时按国家相关规定执行。</w:t>
      </w:r>
    </w:p>
    <w:p w14:paraId="60A13263">
      <w:pPr>
        <w:pStyle w:val="2"/>
        <w:ind w:left="0" w:leftChars="0" w:firstLine="0" w:firstLineChars="0"/>
        <w:rPr>
          <w:color w:val="auto"/>
        </w:rPr>
      </w:pPr>
    </w:p>
    <w:p w14:paraId="6C64497E">
      <w:pPr>
        <w:pStyle w:val="8"/>
        <w:spacing w:before="0" w:after="0" w:line="360" w:lineRule="auto"/>
        <w:rPr>
          <w:rFonts w:hint="eastAsia" w:ascii="宋体" w:hAnsi="宋体" w:eastAsia="宋体" w:cs="宋体"/>
          <w:b/>
          <w:bCs/>
          <w:color w:val="auto"/>
          <w:sz w:val="30"/>
          <w:highlight w:val="none"/>
        </w:rPr>
      </w:pPr>
      <w:bookmarkStart w:id="130" w:name="_Toc1931"/>
      <w:bookmarkStart w:id="131" w:name="_Toc6676"/>
      <w:bookmarkStart w:id="132" w:name="_Toc12507"/>
      <w:bookmarkStart w:id="133" w:name="_Toc19509"/>
      <w:r>
        <w:rPr>
          <w:rFonts w:hint="eastAsia" w:ascii="宋体" w:hAnsi="宋体" w:cs="宋体"/>
          <w:b/>
          <w:bCs/>
          <w:color w:val="auto"/>
          <w:sz w:val="30"/>
          <w:highlight w:val="none"/>
          <w:lang w:val="en-US" w:eastAsia="zh-CN"/>
        </w:rPr>
        <w:t>10</w:t>
      </w:r>
      <w:r>
        <w:rPr>
          <w:rFonts w:hint="eastAsia" w:ascii="宋体" w:hAnsi="宋体" w:eastAsia="宋体" w:cs="宋体"/>
          <w:b/>
          <w:bCs/>
          <w:color w:val="auto"/>
          <w:sz w:val="30"/>
          <w:highlight w:val="none"/>
        </w:rPr>
        <w:t>.联系方式</w:t>
      </w:r>
      <w:bookmarkEnd w:id="117"/>
      <w:bookmarkEnd w:id="118"/>
      <w:bookmarkEnd w:id="119"/>
      <w:bookmarkEnd w:id="120"/>
      <w:bookmarkEnd w:id="121"/>
      <w:bookmarkEnd w:id="130"/>
      <w:bookmarkEnd w:id="131"/>
      <w:bookmarkEnd w:id="132"/>
      <w:bookmarkEnd w:id="133"/>
    </w:p>
    <w:p w14:paraId="09DE97BF">
      <w:pPr>
        <w:spacing w:before="0" w:line="360" w:lineRule="auto"/>
        <w:ind w:left="0" w:firstLine="448" w:firstLineChars="200"/>
        <w:rPr>
          <w:rFonts w:hint="eastAsia" w:ascii="宋体" w:hAnsi="宋体" w:eastAsia="宋体" w:cs="宋体"/>
          <w:b w:val="0"/>
          <w:bCs w:val="0"/>
          <w:color w:val="auto"/>
          <w:spacing w:val="5"/>
          <w:sz w:val="21"/>
          <w:szCs w:val="21"/>
          <w:highlight w:val="none"/>
          <w:u w:val="none"/>
          <w:lang w:val="en-US" w:eastAsia="zh-CN"/>
        </w:rPr>
      </w:pPr>
      <w:r>
        <w:rPr>
          <w:rFonts w:hint="eastAsia" w:ascii="宋体" w:hAnsi="宋体" w:eastAsia="宋体" w:cs="宋体"/>
          <w:b w:val="0"/>
          <w:bCs w:val="0"/>
          <w:color w:val="auto"/>
          <w:spacing w:val="7"/>
          <w:sz w:val="21"/>
          <w:szCs w:val="21"/>
          <w:highlight w:val="none"/>
        </w:rPr>
        <w:t>招 标 人：</w:t>
      </w:r>
      <w:r>
        <w:rPr>
          <w:rFonts w:hint="eastAsia" w:ascii="宋体" w:hAnsi="宋体" w:cs="宋体"/>
          <w:b w:val="0"/>
          <w:bCs w:val="0"/>
          <w:color w:val="auto"/>
          <w:spacing w:val="5"/>
          <w:sz w:val="21"/>
          <w:szCs w:val="21"/>
          <w:highlight w:val="none"/>
          <w:u w:val="none"/>
          <w:lang w:val="en-US" w:eastAsia="zh-CN"/>
        </w:rPr>
        <w:t>江华瑶族自治县沱江镇人民政府</w:t>
      </w:r>
    </w:p>
    <w:p w14:paraId="7BF0F56E">
      <w:pPr>
        <w:spacing w:line="360" w:lineRule="auto"/>
        <w:ind w:left="0" w:firstLine="448" w:firstLineChars="200"/>
        <w:rPr>
          <w:rFonts w:hint="eastAsia" w:ascii="宋体" w:hAnsi="宋体" w:eastAsia="宋体" w:cs="宋体"/>
          <w:b w:val="0"/>
          <w:bCs w:val="0"/>
          <w:color w:val="auto"/>
          <w:spacing w:val="5"/>
          <w:sz w:val="21"/>
          <w:szCs w:val="21"/>
          <w:highlight w:val="none"/>
          <w:u w:val="none"/>
          <w:lang w:val="en-US" w:eastAsia="zh-CN"/>
        </w:rPr>
      </w:pPr>
      <w:r>
        <w:rPr>
          <w:rFonts w:hint="eastAsia" w:ascii="宋体" w:hAnsi="宋体" w:eastAsia="宋体" w:cs="宋体"/>
          <w:b w:val="0"/>
          <w:bCs w:val="0"/>
          <w:color w:val="auto"/>
          <w:spacing w:val="7"/>
          <w:position w:val="0"/>
          <w:sz w:val="21"/>
          <w:szCs w:val="21"/>
          <w:highlight w:val="none"/>
        </w:rPr>
        <w:t>地    址：</w:t>
      </w:r>
      <w:r>
        <w:rPr>
          <w:rFonts w:hint="eastAsia" w:ascii="宋体" w:hAnsi="宋体" w:cs="宋体"/>
          <w:b w:val="0"/>
          <w:bCs w:val="0"/>
          <w:color w:val="auto"/>
          <w:spacing w:val="5"/>
          <w:sz w:val="21"/>
          <w:szCs w:val="21"/>
          <w:highlight w:val="none"/>
          <w:u w:val="none"/>
          <w:lang w:val="en-US" w:eastAsia="zh-CN"/>
        </w:rPr>
        <w:t>湖南省永州市江华瑶族自治县华府1路1号</w:t>
      </w:r>
    </w:p>
    <w:p w14:paraId="14F2ADBD">
      <w:pPr>
        <w:spacing w:line="360" w:lineRule="auto"/>
        <w:ind w:left="0" w:firstLine="440" w:firstLineChars="200"/>
        <w:rPr>
          <w:rFonts w:hint="default" w:ascii="宋体" w:hAnsi="宋体" w:eastAsia="宋体" w:cs="宋体"/>
          <w:b w:val="0"/>
          <w:bCs w:val="0"/>
          <w:color w:val="auto"/>
          <w:sz w:val="21"/>
          <w:szCs w:val="21"/>
          <w:highlight w:val="none"/>
          <w:u w:val="none"/>
          <w:lang w:val="en-US"/>
        </w:rPr>
      </w:pPr>
      <w:r>
        <w:rPr>
          <w:rFonts w:hint="eastAsia" w:ascii="宋体" w:hAnsi="宋体" w:eastAsia="宋体" w:cs="宋体"/>
          <w:b w:val="0"/>
          <w:bCs w:val="0"/>
          <w:color w:val="auto"/>
          <w:spacing w:val="5"/>
          <w:sz w:val="21"/>
          <w:szCs w:val="21"/>
          <w:highlight w:val="none"/>
        </w:rPr>
        <w:t>联</w:t>
      </w:r>
      <w:r>
        <w:rPr>
          <w:rFonts w:hint="eastAsia" w:ascii="宋体" w:hAnsi="宋体" w:eastAsia="宋体" w:cs="宋体"/>
          <w:b w:val="0"/>
          <w:bCs w:val="0"/>
          <w:color w:val="auto"/>
          <w:spacing w:val="22"/>
          <w:sz w:val="21"/>
          <w:szCs w:val="21"/>
          <w:highlight w:val="none"/>
        </w:rPr>
        <w:t xml:space="preserve"> </w:t>
      </w:r>
      <w:r>
        <w:rPr>
          <w:rFonts w:hint="eastAsia" w:ascii="宋体" w:hAnsi="宋体" w:eastAsia="宋体" w:cs="宋体"/>
          <w:b w:val="0"/>
          <w:bCs w:val="0"/>
          <w:color w:val="auto"/>
          <w:spacing w:val="5"/>
          <w:sz w:val="21"/>
          <w:szCs w:val="21"/>
          <w:highlight w:val="none"/>
        </w:rPr>
        <w:t>系 人</w:t>
      </w:r>
      <w:r>
        <w:rPr>
          <w:rFonts w:hint="eastAsia" w:ascii="宋体" w:hAnsi="宋体" w:eastAsia="宋体" w:cs="宋体"/>
          <w:b w:val="0"/>
          <w:bCs w:val="0"/>
          <w:color w:val="auto"/>
          <w:spacing w:val="5"/>
          <w:sz w:val="21"/>
          <w:szCs w:val="21"/>
          <w:highlight w:val="none"/>
          <w:u w:val="none"/>
        </w:rPr>
        <w:t>：</w:t>
      </w:r>
      <w:r>
        <w:rPr>
          <w:rFonts w:hint="eastAsia" w:ascii="宋体" w:hAnsi="宋体" w:cs="宋体"/>
          <w:b w:val="0"/>
          <w:bCs w:val="0"/>
          <w:color w:val="auto"/>
          <w:spacing w:val="5"/>
          <w:sz w:val="21"/>
          <w:szCs w:val="21"/>
          <w:highlight w:val="none"/>
          <w:u w:val="none"/>
          <w:lang w:val="en-US" w:eastAsia="zh-CN"/>
        </w:rPr>
        <w:t>钟婷</w:t>
      </w:r>
    </w:p>
    <w:p w14:paraId="2545BB80">
      <w:pPr>
        <w:spacing w:before="0" w:line="360" w:lineRule="auto"/>
        <w:ind w:left="0" w:firstLine="444" w:firstLineChars="200"/>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pacing w:val="6"/>
          <w:sz w:val="21"/>
          <w:szCs w:val="21"/>
          <w:highlight w:val="none"/>
          <w:u w:val="none"/>
        </w:rPr>
        <w:t>电    话：</w:t>
      </w:r>
      <w:r>
        <w:rPr>
          <w:rFonts w:hint="eastAsia" w:ascii="宋体" w:hAnsi="宋体" w:cs="宋体"/>
          <w:b w:val="0"/>
          <w:bCs w:val="0"/>
          <w:color w:val="auto"/>
          <w:spacing w:val="6"/>
          <w:sz w:val="21"/>
          <w:szCs w:val="21"/>
          <w:highlight w:val="none"/>
          <w:u w:val="none"/>
          <w:lang w:val="en-US" w:eastAsia="zh-CN"/>
        </w:rPr>
        <w:t>15211663637</w:t>
      </w:r>
      <w:r>
        <w:rPr>
          <w:rFonts w:hint="eastAsia" w:ascii="宋体" w:hAnsi="宋体" w:eastAsia="宋体" w:cs="宋体"/>
          <w:b w:val="0"/>
          <w:bCs w:val="0"/>
          <w:color w:val="auto"/>
          <w:spacing w:val="6"/>
          <w:sz w:val="21"/>
          <w:szCs w:val="21"/>
          <w:highlight w:val="none"/>
          <w:u w:val="none"/>
        </w:rPr>
        <w:t>（经本人同意公开</w:t>
      </w:r>
      <w:r>
        <w:rPr>
          <w:rFonts w:hint="eastAsia" w:ascii="宋体" w:hAnsi="宋体" w:eastAsia="宋体" w:cs="宋体"/>
          <w:b w:val="0"/>
          <w:bCs w:val="0"/>
          <w:color w:val="auto"/>
          <w:spacing w:val="1"/>
          <w:sz w:val="21"/>
          <w:szCs w:val="21"/>
          <w:highlight w:val="none"/>
          <w:u w:val="none"/>
        </w:rPr>
        <w:t>）</w:t>
      </w:r>
    </w:p>
    <w:p w14:paraId="5A2E5970">
      <w:pPr>
        <w:pStyle w:val="21"/>
        <w:spacing w:line="360" w:lineRule="auto"/>
        <w:ind w:left="0" w:firstLine="420" w:firstLineChars="200"/>
        <w:rPr>
          <w:rFonts w:hint="eastAsia" w:ascii="宋体" w:hAnsi="宋体" w:eastAsia="宋体" w:cs="宋体"/>
          <w:b w:val="0"/>
          <w:bCs w:val="0"/>
          <w:color w:val="auto"/>
          <w:highlight w:val="none"/>
          <w:u w:val="none"/>
        </w:rPr>
      </w:pPr>
    </w:p>
    <w:p w14:paraId="5845FF99">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采购代理机构：</w:t>
      </w:r>
      <w:r>
        <w:rPr>
          <w:rFonts w:hint="eastAsia" w:ascii="宋体" w:hAnsi="宋体" w:eastAsia="宋体" w:cs="宋体"/>
          <w:color w:val="auto"/>
          <w:sz w:val="21"/>
          <w:szCs w:val="21"/>
          <w:highlight w:val="none"/>
          <w:lang w:val="en-US" w:eastAsia="zh-CN"/>
        </w:rPr>
        <w:t>湖南紫霖项目管理有限责任公司</w:t>
      </w:r>
    </w:p>
    <w:p w14:paraId="1AA78568">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湖南省永州市冷水滩区朝阳小区2栋1单元302</w:t>
      </w:r>
    </w:p>
    <w:p w14:paraId="0EF2D057">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联 系 人：</w:t>
      </w:r>
      <w:r>
        <w:rPr>
          <w:rFonts w:hint="eastAsia" w:ascii="宋体" w:hAnsi="宋体" w:eastAsia="宋体" w:cs="宋体"/>
          <w:color w:val="auto"/>
          <w:sz w:val="21"/>
          <w:szCs w:val="21"/>
          <w:highlight w:val="none"/>
          <w:lang w:eastAsia="zh-CN"/>
        </w:rPr>
        <w:t>陈雪英、高盛翔、达海群</w:t>
      </w:r>
    </w:p>
    <w:p w14:paraId="048EF7C4">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电    话： </w:t>
      </w:r>
      <w:r>
        <w:rPr>
          <w:rFonts w:hint="eastAsia" w:ascii="宋体" w:hAnsi="宋体" w:cs="宋体"/>
          <w:color w:val="auto"/>
          <w:sz w:val="21"/>
          <w:szCs w:val="21"/>
          <w:highlight w:val="none"/>
          <w:lang w:val="en-US" w:eastAsia="zh-CN"/>
        </w:rPr>
        <w:t>18153340411</w:t>
      </w:r>
      <w:r>
        <w:rPr>
          <w:rFonts w:hint="eastAsia" w:ascii="宋体" w:hAnsi="宋体" w:eastAsia="宋体" w:cs="宋体"/>
          <w:color w:val="auto"/>
          <w:sz w:val="21"/>
          <w:szCs w:val="21"/>
          <w:highlight w:val="none"/>
        </w:rPr>
        <w:t xml:space="preserve">  </w:t>
      </w:r>
    </w:p>
    <w:p w14:paraId="181A70BF">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rPr>
      </w:pPr>
    </w:p>
    <w:p w14:paraId="16D57BD9">
      <w:pPr>
        <w:keepNext w:val="0"/>
        <w:keepLines w:val="0"/>
        <w:pageBreakBefore w:val="0"/>
        <w:widowControl w:val="0"/>
        <w:kinsoku/>
        <w:wordWrap/>
        <w:overflowPunct/>
        <w:topLinePunct w:val="0"/>
        <w:autoSpaceDE/>
        <w:autoSpaceDN/>
        <w:bidi w:val="0"/>
        <w:adjustRightInd w:val="0"/>
        <w:snapToGrid w:val="0"/>
        <w:spacing w:before="156" w:beforeLines="50" w:line="360" w:lineRule="exact"/>
        <w:ind w:firstLine="420" w:firstLineChars="200"/>
        <w:textAlignment w:val="auto"/>
        <w:rPr>
          <w:rFonts w:hint="eastAsia" w:ascii="宋体" w:hAnsi="宋体" w:eastAsia="宋体" w:cs="宋体"/>
          <w:color w:val="auto"/>
          <w:sz w:val="21"/>
          <w:szCs w:val="21"/>
          <w:highlight w:val="none"/>
        </w:rPr>
        <w:sectPr>
          <w:footerReference r:id="rId4" w:type="default"/>
          <w:pgSz w:w="11907" w:h="16840"/>
          <w:pgMar w:top="1418" w:right="1418" w:bottom="1418" w:left="1418" w:header="851" w:footer="850" w:gutter="0"/>
          <w:pgNumType w:start="2"/>
          <w:cols w:space="720" w:num="1"/>
          <w:docGrid w:linePitch="312" w:charSpace="0"/>
        </w:sectPr>
      </w:pPr>
    </w:p>
    <w:p w14:paraId="174FA878">
      <w:pPr>
        <w:pStyle w:val="8"/>
        <w:spacing w:before="0" w:after="0"/>
        <w:jc w:val="center"/>
        <w:outlineLvl w:val="1"/>
        <w:rPr>
          <w:rFonts w:hint="eastAsia" w:ascii="宋体" w:hAnsi="宋体" w:eastAsia="宋体" w:cs="宋体"/>
          <w:b w:val="0"/>
          <w:bCs w:val="0"/>
          <w:color w:val="auto"/>
          <w:highlight w:val="none"/>
        </w:rPr>
      </w:pPr>
      <w:bookmarkStart w:id="134" w:name="_Toc80006198"/>
      <w:bookmarkStart w:id="135" w:name="_Toc9341"/>
      <w:bookmarkStart w:id="136" w:name="_Toc3817"/>
      <w:bookmarkStart w:id="137" w:name="_Toc2838"/>
      <w:bookmarkStart w:id="138" w:name="_Toc21955"/>
      <w:bookmarkStart w:id="139" w:name="_Toc80006088"/>
      <w:bookmarkStart w:id="140" w:name="_Toc2047"/>
      <w:bookmarkStart w:id="141" w:name="_Toc25961"/>
      <w:bookmarkStart w:id="142" w:name="_Toc26149"/>
      <w:r>
        <w:rPr>
          <w:rFonts w:hint="eastAsia" w:ascii="宋体" w:hAnsi="宋体" w:eastAsia="宋体" w:cs="宋体"/>
          <w:b w:val="0"/>
          <w:bCs w:val="0"/>
          <w:color w:val="auto"/>
          <w:highlight w:val="none"/>
        </w:rPr>
        <w:t>第二章  投标人须知</w:t>
      </w:r>
      <w:bookmarkEnd w:id="134"/>
      <w:bookmarkEnd w:id="135"/>
      <w:bookmarkEnd w:id="136"/>
      <w:bookmarkEnd w:id="137"/>
      <w:bookmarkEnd w:id="138"/>
      <w:bookmarkEnd w:id="139"/>
      <w:bookmarkEnd w:id="140"/>
      <w:bookmarkEnd w:id="141"/>
      <w:bookmarkEnd w:id="142"/>
    </w:p>
    <w:p w14:paraId="29FC0F65">
      <w:pPr>
        <w:snapToGrid w:val="0"/>
        <w:jc w:val="center"/>
        <w:rPr>
          <w:rFonts w:hint="eastAsia" w:ascii="宋体" w:hAnsi="宋体" w:eastAsia="宋体" w:cs="宋体"/>
          <w:color w:val="auto"/>
          <w:sz w:val="28"/>
          <w:szCs w:val="28"/>
          <w:highlight w:val="none"/>
        </w:rPr>
      </w:pPr>
      <w:bookmarkStart w:id="143" w:name="_Toc1896"/>
      <w:bookmarkStart w:id="144" w:name="_Toc300677997"/>
      <w:r>
        <w:rPr>
          <w:rFonts w:hint="eastAsia" w:ascii="宋体" w:hAnsi="宋体" w:eastAsia="宋体" w:cs="宋体"/>
          <w:color w:val="auto"/>
          <w:sz w:val="28"/>
          <w:szCs w:val="28"/>
          <w:highlight w:val="none"/>
        </w:rPr>
        <w:t>投标人须知前附表</w:t>
      </w:r>
      <w:bookmarkEnd w:id="143"/>
      <w:bookmarkEnd w:id="144"/>
    </w:p>
    <w:tbl>
      <w:tblPr>
        <w:tblStyle w:val="42"/>
        <w:tblW w:w="92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498"/>
        <w:gridCol w:w="6707"/>
      </w:tblGrid>
      <w:tr w14:paraId="23EF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trPr>
        <w:tc>
          <w:tcPr>
            <w:tcW w:w="1065" w:type="dxa"/>
            <w:vAlign w:val="center"/>
          </w:tcPr>
          <w:p w14:paraId="036E5B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条款号</w:t>
            </w:r>
          </w:p>
        </w:tc>
        <w:tc>
          <w:tcPr>
            <w:tcW w:w="1498" w:type="dxa"/>
            <w:vAlign w:val="center"/>
          </w:tcPr>
          <w:p w14:paraId="315B5AE9">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条款名称</w:t>
            </w:r>
          </w:p>
        </w:tc>
        <w:tc>
          <w:tcPr>
            <w:tcW w:w="6707" w:type="dxa"/>
            <w:vAlign w:val="center"/>
          </w:tcPr>
          <w:p w14:paraId="5D30AD7F">
            <w:pPr>
              <w:keepNext w:val="0"/>
              <w:keepLines w:val="0"/>
              <w:suppressLineNumbers w:val="0"/>
              <w:spacing w:before="0" w:beforeAutospacing="0" w:after="0" w:afterAutospacing="0" w:line="360" w:lineRule="auto"/>
              <w:ind w:left="-103" w:leftChars="-49" w:right="0" w:firstLine="422" w:firstLineChars="201"/>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编列内容</w:t>
            </w:r>
          </w:p>
        </w:tc>
      </w:tr>
      <w:tr w14:paraId="05B9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0687C7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w:t>
            </w:r>
          </w:p>
        </w:tc>
        <w:tc>
          <w:tcPr>
            <w:tcW w:w="1498" w:type="dxa"/>
            <w:vAlign w:val="center"/>
          </w:tcPr>
          <w:p w14:paraId="0EFE82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w:t>
            </w:r>
          </w:p>
        </w:tc>
        <w:tc>
          <w:tcPr>
            <w:tcW w:w="6707" w:type="dxa"/>
            <w:vAlign w:val="center"/>
          </w:tcPr>
          <w:p w14:paraId="33D91F76">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val="en-US" w:eastAsia="zh-CN"/>
              </w:rPr>
            </w:pPr>
            <w:r>
              <w:rPr>
                <w:rFonts w:hint="eastAsia" w:ascii="宋体" w:hAnsi="宋体" w:eastAsia="宋体" w:cs="宋体"/>
                <w:color w:val="auto"/>
                <w:spacing w:val="7"/>
                <w:kern w:val="2"/>
                <w:sz w:val="21"/>
                <w:szCs w:val="21"/>
                <w:highlight w:val="none"/>
                <w:u w:val="none"/>
                <w:shd w:val="clear" w:fill="auto"/>
                <w:lang w:eastAsia="zh-CN"/>
              </w:rPr>
              <w:t>名    称：</w:t>
            </w:r>
            <w:r>
              <w:rPr>
                <w:rFonts w:hint="eastAsia" w:cs="宋体"/>
                <w:color w:val="auto"/>
                <w:spacing w:val="7"/>
                <w:kern w:val="2"/>
                <w:sz w:val="21"/>
                <w:szCs w:val="21"/>
                <w:highlight w:val="none"/>
                <w:u w:val="none"/>
                <w:shd w:val="clear" w:fill="auto"/>
                <w:lang w:val="en-US" w:eastAsia="zh-CN"/>
              </w:rPr>
              <w:t>江华瑶族自治县沱江镇人民政府</w:t>
            </w:r>
          </w:p>
          <w:p w14:paraId="5AF709B3">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val="en-US" w:eastAsia="zh-CN"/>
              </w:rPr>
            </w:pPr>
            <w:r>
              <w:rPr>
                <w:rFonts w:hint="eastAsia" w:ascii="宋体" w:hAnsi="宋体" w:eastAsia="宋体" w:cs="宋体"/>
                <w:color w:val="auto"/>
                <w:spacing w:val="7"/>
                <w:kern w:val="2"/>
                <w:sz w:val="21"/>
                <w:szCs w:val="21"/>
                <w:highlight w:val="none"/>
                <w:u w:val="none"/>
                <w:shd w:val="clear" w:fill="auto"/>
                <w:lang w:eastAsia="zh-CN"/>
              </w:rPr>
              <w:t>地    址：</w:t>
            </w:r>
            <w:r>
              <w:rPr>
                <w:rFonts w:hint="eastAsia" w:cs="宋体"/>
                <w:color w:val="auto"/>
                <w:spacing w:val="7"/>
                <w:kern w:val="2"/>
                <w:sz w:val="21"/>
                <w:szCs w:val="21"/>
                <w:highlight w:val="none"/>
                <w:u w:val="none"/>
                <w:shd w:val="clear" w:fill="auto"/>
                <w:lang w:val="en-US" w:eastAsia="zh-CN"/>
              </w:rPr>
              <w:t>湖南省永州市江华瑶族自治县华府1路1号</w:t>
            </w:r>
          </w:p>
          <w:p w14:paraId="3113B6C9">
            <w:pPr>
              <w:keepNext w:val="0"/>
              <w:keepLines w:val="0"/>
              <w:suppressLineNumbers w:val="0"/>
              <w:spacing w:before="0" w:beforeAutospacing="0" w:after="0" w:afterAutospacing="0" w:line="360" w:lineRule="auto"/>
              <w:ind w:left="0" w:right="0"/>
              <w:rPr>
                <w:rFonts w:hint="eastAsia" w:ascii="宋体" w:hAnsi="宋体" w:eastAsia="宋体" w:cs="宋体"/>
                <w:color w:val="auto"/>
                <w:spacing w:val="7"/>
                <w:kern w:val="2"/>
                <w:sz w:val="21"/>
                <w:szCs w:val="21"/>
                <w:highlight w:val="none"/>
                <w:u w:val="none"/>
                <w:shd w:val="clear" w:fill="auto"/>
                <w:lang w:val="en-US" w:eastAsia="zh-CN" w:bidi="ar-SA"/>
              </w:rPr>
            </w:pPr>
            <w:r>
              <w:rPr>
                <w:rFonts w:hint="eastAsia" w:ascii="宋体" w:hAnsi="宋体" w:eastAsia="宋体" w:cs="宋体"/>
                <w:color w:val="auto"/>
                <w:spacing w:val="7"/>
                <w:kern w:val="2"/>
                <w:sz w:val="21"/>
                <w:szCs w:val="21"/>
                <w:highlight w:val="none"/>
                <w:u w:val="none"/>
                <w:shd w:val="clear" w:fill="auto"/>
                <w:lang w:eastAsia="zh-CN"/>
              </w:rPr>
              <w:t>联 系 人：</w:t>
            </w:r>
            <w:r>
              <w:rPr>
                <w:rFonts w:hint="eastAsia" w:ascii="宋体" w:hAnsi="宋体" w:cs="宋体"/>
                <w:b w:val="0"/>
                <w:bCs w:val="0"/>
                <w:color w:val="auto"/>
                <w:spacing w:val="5"/>
                <w:sz w:val="21"/>
                <w:szCs w:val="21"/>
                <w:highlight w:val="none"/>
                <w:u w:val="none"/>
                <w:lang w:val="en-US" w:eastAsia="zh-CN"/>
              </w:rPr>
              <w:t>钟婷</w:t>
            </w:r>
          </w:p>
          <w:p w14:paraId="4D45FA9B">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pacing w:val="7"/>
                <w:kern w:val="2"/>
                <w:sz w:val="21"/>
                <w:szCs w:val="21"/>
                <w:highlight w:val="none"/>
                <w:u w:val="none"/>
                <w:shd w:val="clear" w:fill="auto"/>
                <w:lang w:eastAsia="zh-CN"/>
              </w:rPr>
              <w:t>电    话：</w:t>
            </w:r>
            <w:r>
              <w:rPr>
                <w:rFonts w:hint="eastAsia" w:ascii="宋体" w:hAnsi="宋体" w:cs="宋体"/>
                <w:color w:val="auto"/>
                <w:spacing w:val="7"/>
                <w:kern w:val="2"/>
                <w:sz w:val="21"/>
                <w:szCs w:val="21"/>
                <w:highlight w:val="none"/>
                <w:u w:val="none"/>
                <w:shd w:val="clear" w:fill="auto"/>
                <w:lang w:val="en-US" w:eastAsia="zh-CN" w:bidi="ar-SA"/>
              </w:rPr>
              <w:t>15211663637</w:t>
            </w:r>
            <w:r>
              <w:rPr>
                <w:rFonts w:hint="eastAsia" w:ascii="宋体" w:hAnsi="宋体" w:eastAsia="宋体" w:cs="宋体"/>
                <w:color w:val="auto"/>
                <w:spacing w:val="7"/>
                <w:kern w:val="2"/>
                <w:sz w:val="21"/>
                <w:szCs w:val="21"/>
                <w:highlight w:val="none"/>
                <w:u w:val="none"/>
                <w:shd w:val="clear" w:fill="auto"/>
                <w:lang w:val="en-US" w:eastAsia="zh-CN" w:bidi="ar-SA"/>
              </w:rPr>
              <w:t>（经本人同意公开）</w:t>
            </w:r>
          </w:p>
        </w:tc>
      </w:tr>
      <w:tr w14:paraId="1BDB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065" w:type="dxa"/>
            <w:vAlign w:val="center"/>
          </w:tcPr>
          <w:p w14:paraId="25B29E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w:t>
            </w:r>
          </w:p>
        </w:tc>
        <w:tc>
          <w:tcPr>
            <w:tcW w:w="1498" w:type="dxa"/>
            <w:vAlign w:val="center"/>
          </w:tcPr>
          <w:p w14:paraId="5CBF86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招标代理机构</w:t>
            </w:r>
          </w:p>
        </w:tc>
        <w:tc>
          <w:tcPr>
            <w:tcW w:w="6707" w:type="dxa"/>
            <w:vAlign w:val="center"/>
          </w:tcPr>
          <w:p w14:paraId="145EE774">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eastAsia="zh-CN"/>
              </w:rPr>
            </w:pPr>
            <w:r>
              <w:rPr>
                <w:rFonts w:hint="eastAsia" w:ascii="宋体" w:hAnsi="宋体" w:eastAsia="宋体" w:cs="宋体"/>
                <w:color w:val="auto"/>
                <w:spacing w:val="7"/>
                <w:kern w:val="2"/>
                <w:sz w:val="21"/>
                <w:szCs w:val="21"/>
                <w:highlight w:val="none"/>
                <w:u w:val="none"/>
                <w:shd w:val="clear" w:fill="auto"/>
                <w:lang w:eastAsia="zh-CN"/>
              </w:rPr>
              <w:t>名    称：</w:t>
            </w:r>
            <w:r>
              <w:rPr>
                <w:rFonts w:hint="eastAsia" w:cs="宋体"/>
                <w:color w:val="auto"/>
                <w:spacing w:val="7"/>
                <w:kern w:val="2"/>
                <w:sz w:val="21"/>
                <w:szCs w:val="21"/>
                <w:highlight w:val="none"/>
                <w:u w:val="none"/>
                <w:shd w:val="clear" w:fill="auto"/>
                <w:lang w:val="en-US" w:eastAsia="zh-CN"/>
              </w:rPr>
              <w:t>湖南紫霖项目管理有限责任公司</w:t>
            </w:r>
          </w:p>
          <w:p w14:paraId="223C6279">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eastAsia="zh-CN"/>
              </w:rPr>
            </w:pPr>
            <w:r>
              <w:rPr>
                <w:rFonts w:hint="eastAsia" w:ascii="宋体" w:hAnsi="宋体" w:eastAsia="宋体" w:cs="宋体"/>
                <w:color w:val="auto"/>
                <w:spacing w:val="7"/>
                <w:kern w:val="2"/>
                <w:sz w:val="21"/>
                <w:szCs w:val="21"/>
                <w:highlight w:val="none"/>
                <w:u w:val="none"/>
                <w:shd w:val="clear" w:fill="auto"/>
                <w:lang w:eastAsia="zh-CN"/>
              </w:rPr>
              <w:t>地    址：</w:t>
            </w:r>
            <w:r>
              <w:rPr>
                <w:rFonts w:hint="eastAsia" w:cs="宋体"/>
                <w:color w:val="auto"/>
                <w:spacing w:val="7"/>
                <w:kern w:val="2"/>
                <w:sz w:val="21"/>
                <w:szCs w:val="21"/>
                <w:highlight w:val="none"/>
                <w:u w:val="none"/>
                <w:shd w:val="clear" w:fill="auto"/>
                <w:lang w:eastAsia="zh-CN"/>
              </w:rPr>
              <w:t>湖南省永州市冷水滩区朝阳小区2栋1单元302</w:t>
            </w:r>
          </w:p>
          <w:p w14:paraId="478261E3">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eastAsia="zh-CN"/>
              </w:rPr>
            </w:pPr>
            <w:r>
              <w:rPr>
                <w:rFonts w:hint="eastAsia" w:ascii="宋体" w:hAnsi="宋体" w:eastAsia="宋体" w:cs="宋体"/>
                <w:color w:val="auto"/>
                <w:spacing w:val="7"/>
                <w:kern w:val="2"/>
                <w:sz w:val="21"/>
                <w:szCs w:val="21"/>
                <w:highlight w:val="none"/>
                <w:u w:val="none"/>
                <w:shd w:val="clear" w:fill="auto"/>
                <w:lang w:eastAsia="zh-CN"/>
              </w:rPr>
              <w:t>项目负责人：</w:t>
            </w:r>
            <w:r>
              <w:rPr>
                <w:rFonts w:hint="eastAsia" w:ascii="宋体" w:hAnsi="宋体" w:eastAsia="宋体" w:cs="宋体"/>
                <w:color w:val="auto"/>
                <w:sz w:val="21"/>
                <w:szCs w:val="21"/>
                <w:highlight w:val="none"/>
                <w:lang w:eastAsia="zh-CN"/>
              </w:rPr>
              <w:t>陈雪英</w:t>
            </w:r>
          </w:p>
          <w:p w14:paraId="29B96BE8">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eastAsia="zh-CN"/>
              </w:rPr>
            </w:pPr>
            <w:r>
              <w:rPr>
                <w:rFonts w:hint="eastAsia" w:ascii="宋体" w:hAnsi="宋体" w:eastAsia="宋体" w:cs="宋体"/>
                <w:color w:val="auto"/>
                <w:spacing w:val="7"/>
                <w:kern w:val="2"/>
                <w:sz w:val="21"/>
                <w:szCs w:val="21"/>
                <w:highlight w:val="none"/>
                <w:u w:val="none"/>
                <w:shd w:val="clear" w:fill="auto"/>
                <w:lang w:eastAsia="zh-CN"/>
              </w:rPr>
              <w:t>专职人员：</w:t>
            </w:r>
            <w:r>
              <w:rPr>
                <w:rFonts w:hint="eastAsia" w:ascii="宋体" w:hAnsi="宋体" w:eastAsia="宋体" w:cs="宋体"/>
                <w:color w:val="auto"/>
                <w:sz w:val="21"/>
                <w:szCs w:val="21"/>
                <w:highlight w:val="none"/>
                <w:lang w:eastAsia="zh-CN"/>
              </w:rPr>
              <w:t>高盛翔、达海群</w:t>
            </w:r>
          </w:p>
          <w:p w14:paraId="5BAE0FA0">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pacing w:val="7"/>
                <w:kern w:val="2"/>
                <w:sz w:val="21"/>
                <w:szCs w:val="21"/>
                <w:highlight w:val="none"/>
                <w:u w:val="none"/>
                <w:shd w:val="clear" w:fill="auto"/>
                <w:lang w:eastAsia="zh-CN"/>
              </w:rPr>
            </w:pPr>
            <w:r>
              <w:rPr>
                <w:rFonts w:hint="eastAsia" w:ascii="宋体" w:hAnsi="宋体" w:eastAsia="宋体" w:cs="宋体"/>
                <w:color w:val="auto"/>
                <w:spacing w:val="7"/>
                <w:kern w:val="2"/>
                <w:sz w:val="21"/>
                <w:szCs w:val="21"/>
                <w:highlight w:val="none"/>
                <w:u w:val="none"/>
                <w:shd w:val="clear" w:fill="auto"/>
                <w:lang w:eastAsia="zh-CN"/>
              </w:rPr>
              <w:t>电    话：</w:t>
            </w:r>
            <w:r>
              <w:rPr>
                <w:rFonts w:hint="eastAsia" w:cs="宋体"/>
                <w:color w:val="auto"/>
                <w:spacing w:val="7"/>
                <w:kern w:val="2"/>
                <w:sz w:val="21"/>
                <w:szCs w:val="21"/>
                <w:highlight w:val="none"/>
                <w:u w:val="none"/>
                <w:shd w:val="clear" w:fill="auto"/>
                <w:lang w:val="en-US" w:eastAsia="zh-CN"/>
              </w:rPr>
              <w:t>18153340411</w:t>
            </w:r>
            <w:r>
              <w:rPr>
                <w:rFonts w:hint="eastAsia" w:ascii="宋体" w:hAnsi="宋体" w:eastAsia="宋体" w:cs="宋体"/>
                <w:color w:val="auto"/>
                <w:spacing w:val="7"/>
                <w:kern w:val="2"/>
                <w:sz w:val="21"/>
                <w:szCs w:val="21"/>
                <w:highlight w:val="none"/>
                <w:u w:val="none"/>
                <w:shd w:val="clear" w:fill="auto"/>
                <w:lang w:eastAsia="zh-CN"/>
              </w:rPr>
              <w:t xml:space="preserve"> (经本人同意公开）</w:t>
            </w:r>
          </w:p>
        </w:tc>
      </w:tr>
      <w:tr w14:paraId="6AA7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65" w:type="dxa"/>
            <w:vAlign w:val="center"/>
          </w:tcPr>
          <w:p w14:paraId="523F15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w:t>
            </w:r>
          </w:p>
        </w:tc>
        <w:tc>
          <w:tcPr>
            <w:tcW w:w="1498" w:type="dxa"/>
            <w:vAlign w:val="center"/>
          </w:tcPr>
          <w:p w14:paraId="398D00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招标项目名称</w:t>
            </w:r>
          </w:p>
        </w:tc>
        <w:tc>
          <w:tcPr>
            <w:tcW w:w="6707" w:type="dxa"/>
            <w:vAlign w:val="center"/>
          </w:tcPr>
          <w:p w14:paraId="58321119">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cs="宋体"/>
                <w:color w:val="auto"/>
                <w:spacing w:val="7"/>
                <w:kern w:val="2"/>
                <w:sz w:val="21"/>
                <w:szCs w:val="21"/>
                <w:highlight w:val="none"/>
                <w:u w:val="none"/>
                <w:shd w:val="clear" w:fill="auto"/>
                <w:lang w:val="en-US" w:eastAsia="zh-CN" w:bidi="ar-SA"/>
              </w:rPr>
              <w:t>沱涔大道帮扶车间产业园建设项目</w:t>
            </w:r>
          </w:p>
        </w:tc>
      </w:tr>
      <w:tr w14:paraId="0AD8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65" w:type="dxa"/>
            <w:vAlign w:val="center"/>
          </w:tcPr>
          <w:p w14:paraId="6193BE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w:t>
            </w:r>
          </w:p>
        </w:tc>
        <w:tc>
          <w:tcPr>
            <w:tcW w:w="1498" w:type="dxa"/>
            <w:vAlign w:val="center"/>
          </w:tcPr>
          <w:p w14:paraId="536314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建设地点</w:t>
            </w:r>
          </w:p>
        </w:tc>
        <w:tc>
          <w:tcPr>
            <w:tcW w:w="6707" w:type="dxa"/>
            <w:vAlign w:val="center"/>
          </w:tcPr>
          <w:p w14:paraId="3025D52E">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cs="宋体"/>
                <w:color w:val="auto"/>
                <w:spacing w:val="7"/>
                <w:kern w:val="2"/>
                <w:sz w:val="21"/>
                <w:szCs w:val="21"/>
                <w:highlight w:val="none"/>
                <w:u w:val="none"/>
                <w:shd w:val="clear" w:fill="auto"/>
                <w:lang w:val="en-US" w:eastAsia="zh-CN" w:bidi="ar-SA"/>
              </w:rPr>
              <w:t>沱涔大道沱岭村和山寨村交界处</w:t>
            </w:r>
          </w:p>
        </w:tc>
      </w:tr>
      <w:tr w14:paraId="2643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065" w:type="dxa"/>
            <w:vAlign w:val="center"/>
          </w:tcPr>
          <w:p w14:paraId="577FA4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w:t>
            </w:r>
          </w:p>
        </w:tc>
        <w:tc>
          <w:tcPr>
            <w:tcW w:w="1498" w:type="dxa"/>
            <w:vAlign w:val="center"/>
          </w:tcPr>
          <w:p w14:paraId="6A427B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招标范围</w:t>
            </w:r>
          </w:p>
        </w:tc>
        <w:tc>
          <w:tcPr>
            <w:tcW w:w="6707" w:type="dxa"/>
            <w:vAlign w:val="center"/>
          </w:tcPr>
          <w:p w14:paraId="7F9F8A3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详见招标公告（适用于采用资格后审方式的招标项目）</w:t>
            </w:r>
          </w:p>
          <w:p w14:paraId="419B4B22">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详见投标邀请书（适用于邀请招标项目）</w:t>
            </w:r>
          </w:p>
          <w:p w14:paraId="0FD92C97">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关于招标范围的详细说明见第七章“技术标准和要求”及施工图纸和工程量清单。（适用于采用资格预审方式的招标项目）</w:t>
            </w:r>
          </w:p>
        </w:tc>
      </w:tr>
      <w:tr w14:paraId="1BB3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065" w:type="dxa"/>
            <w:vAlign w:val="center"/>
          </w:tcPr>
          <w:p w14:paraId="3C41DB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w:t>
            </w:r>
          </w:p>
        </w:tc>
        <w:tc>
          <w:tcPr>
            <w:tcW w:w="1498" w:type="dxa"/>
            <w:vAlign w:val="center"/>
          </w:tcPr>
          <w:p w14:paraId="617BCC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计划工期</w:t>
            </w:r>
          </w:p>
        </w:tc>
        <w:tc>
          <w:tcPr>
            <w:tcW w:w="6707" w:type="dxa"/>
            <w:vAlign w:val="center"/>
          </w:tcPr>
          <w:p w14:paraId="6C17A14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计划工期：</w:t>
            </w:r>
            <w:r>
              <w:rPr>
                <w:rFonts w:hint="eastAsia" w:ascii="宋体" w:hAnsi="宋体" w:eastAsia="宋体" w:cs="宋体"/>
                <w:color w:val="auto"/>
                <w:szCs w:val="21"/>
                <w:highlight w:val="none"/>
                <w:u w:val="single"/>
              </w:rPr>
              <w:t xml:space="preserve">  </w:t>
            </w:r>
            <w:r>
              <w:rPr>
                <w:rFonts w:hint="eastAsia" w:ascii="宋体" w:hAnsi="宋体" w:cs="宋体"/>
                <w:color w:val="auto"/>
                <w:sz w:val="24"/>
                <w:highlight w:val="none"/>
                <w:u w:val="single"/>
                <w:lang w:val="en-US" w:eastAsia="zh-CN"/>
              </w:rPr>
              <w:t>180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天□月□年</w:t>
            </w:r>
          </w:p>
        </w:tc>
      </w:tr>
      <w:tr w14:paraId="63925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065" w:type="dxa"/>
            <w:vAlign w:val="center"/>
          </w:tcPr>
          <w:p w14:paraId="7362DC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1.3.3</w:t>
            </w:r>
          </w:p>
        </w:tc>
        <w:tc>
          <w:tcPr>
            <w:tcW w:w="1498" w:type="dxa"/>
            <w:vAlign w:val="center"/>
          </w:tcPr>
          <w:p w14:paraId="0DF310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质量标准和</w:t>
            </w:r>
          </w:p>
          <w:p w14:paraId="286EB6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保修要求</w:t>
            </w:r>
          </w:p>
        </w:tc>
        <w:tc>
          <w:tcPr>
            <w:tcW w:w="6707" w:type="dxa"/>
            <w:vAlign w:val="center"/>
          </w:tcPr>
          <w:p w14:paraId="5CD4CC32">
            <w:pPr>
              <w:pStyle w:val="230"/>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质量标准：</w:t>
            </w:r>
            <w:r>
              <w:rPr>
                <w:rFonts w:hint="eastAsia" w:ascii="宋体" w:hAnsi="宋体" w:eastAsia="宋体" w:cs="宋体"/>
                <w:color w:val="auto"/>
                <w:kern w:val="2"/>
                <w:sz w:val="21"/>
                <w:szCs w:val="21"/>
                <w:highlight w:val="none"/>
                <w:u w:val="none"/>
                <w:lang w:val="en-US" w:eastAsia="zh-CN" w:bidi="ar-SA"/>
              </w:rPr>
              <w:t>达到国家合格工程验收标准；</w:t>
            </w:r>
          </w:p>
          <w:p w14:paraId="6EAD96CB">
            <w:pPr>
              <w:keepNext w:val="0"/>
              <w:keepLines w:val="0"/>
              <w:suppressLineNumbers w:val="0"/>
              <w:spacing w:before="0" w:beforeAutospacing="0" w:after="0" w:afterAutospacing="0" w:line="360" w:lineRule="auto"/>
              <w:ind w:left="0" w:leftChars="0" w:right="0" w:firstLine="0" w:firstLineChars="0"/>
              <w:rPr>
                <w:rFonts w:hint="eastAsia" w:ascii="宋体" w:hAnsi="宋体" w:eastAsia="宋体" w:cs="宋体"/>
                <w:color w:val="auto"/>
                <w:szCs w:val="21"/>
                <w:highlight w:val="none"/>
              </w:rPr>
            </w:pPr>
            <w:r>
              <w:rPr>
                <w:rFonts w:hint="eastAsia" w:ascii="宋体" w:hAnsi="宋体" w:eastAsia="宋体" w:cs="宋体"/>
                <w:color w:val="auto"/>
                <w:spacing w:val="7"/>
                <w:sz w:val="21"/>
                <w:szCs w:val="21"/>
                <w:highlight w:val="none"/>
              </w:rPr>
              <w:t>保修要求：</w:t>
            </w:r>
            <w:r>
              <w:rPr>
                <w:rFonts w:hint="eastAsia" w:ascii="宋体" w:hAnsi="宋体" w:eastAsia="宋体" w:cs="宋体"/>
                <w:color w:val="auto"/>
                <w:kern w:val="2"/>
                <w:sz w:val="21"/>
                <w:szCs w:val="21"/>
                <w:highlight w:val="none"/>
                <w:u w:val="none"/>
                <w:lang w:val="en-US" w:eastAsia="zh-CN" w:bidi="ar-SA"/>
              </w:rPr>
              <w:t>按中华人民共和国国务院令第 279号规定执行。</w:t>
            </w:r>
          </w:p>
        </w:tc>
      </w:tr>
      <w:tr w14:paraId="3390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569DC3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p>
        </w:tc>
        <w:tc>
          <w:tcPr>
            <w:tcW w:w="1498" w:type="dxa"/>
            <w:vAlign w:val="center"/>
          </w:tcPr>
          <w:p w14:paraId="1BC840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资质条件</w:t>
            </w:r>
          </w:p>
        </w:tc>
        <w:tc>
          <w:tcPr>
            <w:tcW w:w="6707" w:type="dxa"/>
            <w:vAlign w:val="center"/>
          </w:tcPr>
          <w:p w14:paraId="0C868B0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szCs w:val="21"/>
                <w:highlight w:val="none"/>
              </w:rPr>
              <w:t>1.具有独立法人资格并依法取得企业营业执照，营业执照处于有效期；</w:t>
            </w:r>
          </w:p>
          <w:p w14:paraId="664DB307">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2.具有住房城乡建设主管部门颁发的</w:t>
            </w:r>
            <w:r>
              <w:rPr>
                <w:rFonts w:hint="eastAsia" w:ascii="宋体" w:hAnsi="宋体" w:eastAsia="宋体" w:cs="宋体"/>
                <w:color w:val="auto"/>
                <w:szCs w:val="21"/>
                <w:highlight w:val="none"/>
                <w:u w:val="single"/>
              </w:rPr>
              <w:t xml:space="preserve"> 建筑工程施工总承包三级</w:t>
            </w:r>
            <w:r>
              <w:rPr>
                <w:rFonts w:hint="eastAsia" w:ascii="宋体" w:hAnsi="宋体" w:cs="宋体"/>
                <w:color w:val="auto"/>
                <w:szCs w:val="21"/>
                <w:highlight w:val="none"/>
                <w:u w:val="single"/>
                <w:lang w:eastAsia="zh-CN"/>
              </w:rPr>
              <w:t>及以上</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u w:val="single"/>
              </w:rPr>
              <w:t>安全生产许可证处于有效期</w:t>
            </w:r>
            <w:r>
              <w:rPr>
                <w:rFonts w:hint="eastAsia" w:ascii="宋体" w:hAnsi="宋体" w:eastAsia="宋体" w:cs="宋体"/>
                <w:color w:val="auto"/>
                <w:szCs w:val="21"/>
                <w:highlight w:val="none"/>
              </w:rPr>
              <w:t>；</w:t>
            </w:r>
          </w:p>
          <w:p w14:paraId="5528F4D2">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highlight w:val="none"/>
              </w:rPr>
              <w:t>3.拟任项目经理具备</w:t>
            </w:r>
            <w:r>
              <w:rPr>
                <w:rFonts w:hint="eastAsia" w:ascii="宋体" w:hAnsi="宋体" w:eastAsia="宋体" w:cs="宋体"/>
                <w:color w:val="auto"/>
                <w:highlight w:val="none"/>
                <w:u w:val="single"/>
              </w:rPr>
              <w:t xml:space="preserve"> </w:t>
            </w:r>
            <w:r>
              <w:rPr>
                <w:rFonts w:hint="eastAsia" w:ascii="宋体" w:hAnsi="宋体" w:cs="宋体"/>
                <w:color w:val="auto"/>
                <w:szCs w:val="21"/>
                <w:highlight w:val="none"/>
                <w:u w:val="single"/>
                <w:lang w:eastAsia="zh-CN"/>
              </w:rPr>
              <w:t>建筑工程</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专业</w:t>
            </w:r>
            <w:r>
              <w:rPr>
                <w:rFonts w:hint="eastAsia" w:ascii="宋体" w:hAnsi="宋体" w:eastAsia="宋体" w:cs="宋体"/>
                <w:color w:val="auto"/>
                <w:szCs w:val="21"/>
                <w:highlight w:val="none"/>
                <w:u w:val="single"/>
                <w:lang w:val="en-US" w:eastAsia="zh-CN"/>
              </w:rPr>
              <w:t>贰级及以上注册建造师执业</w:t>
            </w:r>
            <w:r>
              <w:rPr>
                <w:rFonts w:hint="eastAsia" w:ascii="宋体" w:hAnsi="宋体" w:eastAsia="宋体" w:cs="宋体"/>
                <w:color w:val="auto"/>
                <w:highlight w:val="none"/>
              </w:rPr>
              <w:t xml:space="preserve">资格,具备项目负责人安全生产考核合格证书。 </w:t>
            </w:r>
          </w:p>
          <w:p w14:paraId="328690C0">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.类似工程业绩要求</w:t>
            </w:r>
          </w:p>
          <w:p w14:paraId="126DB6FC">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szCs w:val="21"/>
                <w:highlight w:val="none"/>
              </w:rPr>
              <w:t>具体要求详见本表第10.1.1</w:t>
            </w:r>
            <w:r>
              <w:rPr>
                <w:rFonts w:hint="eastAsia" w:ascii="宋体" w:hAnsi="宋体" w:eastAsia="宋体" w:cs="宋体"/>
                <w:color w:val="auto"/>
                <w:highlight w:val="none"/>
              </w:rPr>
              <w:t xml:space="preserve"> 项</w:t>
            </w:r>
          </w:p>
          <w:p w14:paraId="32D8466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.其他</w:t>
            </w:r>
            <w:r>
              <w:rPr>
                <w:rFonts w:hint="eastAsia" w:ascii="宋体" w:hAnsi="宋体" w:eastAsia="宋体" w:cs="宋体"/>
                <w:color w:val="auto"/>
                <w:highlight w:val="none"/>
                <w:lang w:eastAsia="zh-CN"/>
              </w:rPr>
              <w:t>：</w:t>
            </w:r>
            <w:r>
              <w:rPr>
                <w:rFonts w:hint="eastAsia" w:ascii="宋体" w:hAnsi="宋体" w:eastAsia="宋体" w:cs="宋体"/>
                <w:color w:val="auto"/>
                <w:szCs w:val="21"/>
                <w:highlight w:val="none"/>
                <w:u w:val="none"/>
                <w:lang w:val="en-US" w:eastAsia="zh-CN"/>
              </w:rPr>
              <w:t xml:space="preserve"> 施工项目部关键岗位人员数量不低于湘建建【2020】208 号文件规定的配备标准；技术负责人、施工员、质量员、安全员的配置采用承诺制，承诺中标后，办理质监安监手续时按招标文件的要求配备到位，必须是本企业在职人员，投标人为其购买了养老保险且无在建工程。 关键岗位人员必须按要求到岗，不到岗的按规定处罚，上报不良行为记录。 </w:t>
            </w:r>
          </w:p>
        </w:tc>
      </w:tr>
      <w:tr w14:paraId="18A2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065" w:type="dxa"/>
            <w:vAlign w:val="center"/>
          </w:tcPr>
          <w:p w14:paraId="62CF86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p>
        </w:tc>
        <w:tc>
          <w:tcPr>
            <w:tcW w:w="1498" w:type="dxa"/>
            <w:vAlign w:val="center"/>
          </w:tcPr>
          <w:p w14:paraId="5A71AF12">
            <w:pPr>
              <w:keepNext w:val="0"/>
              <w:keepLines w:val="0"/>
              <w:suppressLineNumbers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是否接受</w:t>
            </w:r>
          </w:p>
          <w:p w14:paraId="5DC3F329">
            <w:pPr>
              <w:keepNext w:val="0"/>
              <w:keepLines w:val="0"/>
              <w:suppressLineNumbers w:val="0"/>
              <w:spacing w:before="0" w:beforeAutospacing="0" w:after="0" w:afterAutospacing="0" w:line="360" w:lineRule="auto"/>
              <w:ind w:left="0" w:right="0"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联合体投标</w:t>
            </w:r>
          </w:p>
        </w:tc>
        <w:tc>
          <w:tcPr>
            <w:tcW w:w="6707" w:type="dxa"/>
            <w:vAlign w:val="center"/>
          </w:tcPr>
          <w:p w14:paraId="2C8467B8">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sym w:font="Wingdings" w:char="00FE"/>
            </w:r>
            <w:r>
              <w:rPr>
                <w:rFonts w:hint="eastAsia" w:ascii="宋体" w:hAnsi="宋体" w:eastAsia="宋体" w:cs="宋体"/>
                <w:color w:val="auto"/>
                <w:szCs w:val="21"/>
                <w:highlight w:val="none"/>
              </w:rPr>
              <w:t>不接受</w:t>
            </w:r>
          </w:p>
          <w:p w14:paraId="3E08B52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接受，应满足下列要求： </w:t>
            </w:r>
          </w:p>
        </w:tc>
      </w:tr>
      <w:tr w14:paraId="09D6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065" w:type="dxa"/>
            <w:vAlign w:val="center"/>
          </w:tcPr>
          <w:p w14:paraId="158BBF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w:t>
            </w:r>
          </w:p>
        </w:tc>
        <w:tc>
          <w:tcPr>
            <w:tcW w:w="1498" w:type="dxa"/>
            <w:vAlign w:val="center"/>
          </w:tcPr>
          <w:p w14:paraId="02C0D21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踏勘现场</w:t>
            </w:r>
          </w:p>
        </w:tc>
        <w:tc>
          <w:tcPr>
            <w:tcW w:w="6707" w:type="dxa"/>
            <w:vAlign w:val="center"/>
          </w:tcPr>
          <w:p w14:paraId="5ED8556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sym w:font="Wingdings" w:char="00FE"/>
            </w:r>
            <w:r>
              <w:rPr>
                <w:rFonts w:hint="eastAsia" w:ascii="宋体" w:hAnsi="宋体" w:eastAsia="宋体" w:cs="宋体"/>
                <w:color w:val="auto"/>
                <w:szCs w:val="21"/>
                <w:highlight w:val="none"/>
              </w:rPr>
              <w:t>不组织</w:t>
            </w:r>
          </w:p>
          <w:p w14:paraId="7F0FB57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组织，踏勘时间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94DA21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踏勘地点：</w:t>
            </w:r>
          </w:p>
        </w:tc>
      </w:tr>
      <w:tr w14:paraId="4860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065" w:type="dxa"/>
            <w:vAlign w:val="center"/>
          </w:tcPr>
          <w:p w14:paraId="383FC0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w:t>
            </w:r>
          </w:p>
        </w:tc>
        <w:tc>
          <w:tcPr>
            <w:tcW w:w="1498" w:type="dxa"/>
            <w:vAlign w:val="center"/>
          </w:tcPr>
          <w:p w14:paraId="1E9965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  包</w:t>
            </w:r>
          </w:p>
        </w:tc>
        <w:tc>
          <w:tcPr>
            <w:tcW w:w="6707" w:type="dxa"/>
            <w:vAlign w:val="center"/>
          </w:tcPr>
          <w:p w14:paraId="7A36DED6">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sym w:font="Wingdings" w:char="00FE"/>
            </w:r>
            <w:r>
              <w:rPr>
                <w:rFonts w:hint="eastAsia" w:ascii="宋体" w:hAnsi="宋体" w:eastAsia="宋体" w:cs="宋体"/>
                <w:color w:val="auto"/>
                <w:szCs w:val="21"/>
                <w:highlight w:val="none"/>
              </w:rPr>
              <w:t>不允许</w:t>
            </w:r>
          </w:p>
          <w:p w14:paraId="75CFBB7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允许，分包内容要求：</w:t>
            </w:r>
          </w:p>
          <w:p w14:paraId="212EF339">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分包金额要求：</w:t>
            </w:r>
          </w:p>
          <w:p w14:paraId="413F5D2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接受分包的第三人资质要求：</w:t>
            </w:r>
          </w:p>
        </w:tc>
      </w:tr>
      <w:tr w14:paraId="4852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065" w:type="dxa"/>
            <w:vAlign w:val="center"/>
          </w:tcPr>
          <w:p w14:paraId="75804E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w:t>
            </w:r>
          </w:p>
        </w:tc>
        <w:tc>
          <w:tcPr>
            <w:tcW w:w="1498" w:type="dxa"/>
            <w:vAlign w:val="center"/>
          </w:tcPr>
          <w:p w14:paraId="31C3D4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  离</w:t>
            </w:r>
          </w:p>
        </w:tc>
        <w:tc>
          <w:tcPr>
            <w:tcW w:w="6707" w:type="dxa"/>
            <w:vAlign w:val="center"/>
          </w:tcPr>
          <w:p w14:paraId="2FF8CFC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不允许</w:t>
            </w:r>
          </w:p>
          <w:p w14:paraId="2FF1E87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允许，偏差范围：            偏差幅度：</w:t>
            </w:r>
          </w:p>
        </w:tc>
      </w:tr>
      <w:tr w14:paraId="5D87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65" w:type="dxa"/>
            <w:vAlign w:val="center"/>
          </w:tcPr>
          <w:p w14:paraId="412FE1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w:t>
            </w:r>
          </w:p>
        </w:tc>
        <w:tc>
          <w:tcPr>
            <w:tcW w:w="1498" w:type="dxa"/>
            <w:vAlign w:val="center"/>
          </w:tcPr>
          <w:p w14:paraId="1C773C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构成招标文件的其他资料</w:t>
            </w:r>
          </w:p>
        </w:tc>
        <w:tc>
          <w:tcPr>
            <w:tcW w:w="6707" w:type="dxa"/>
            <w:vAlign w:val="center"/>
          </w:tcPr>
          <w:p w14:paraId="161E42D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color w:val="auto"/>
                <w:szCs w:val="21"/>
              </w:rPr>
              <w:t>澄清及答疑、补充、修改文件等</w:t>
            </w:r>
            <w:r>
              <w:rPr>
                <w:rFonts w:hint="eastAsia" w:ascii="宋体" w:hAnsi="宋体" w:eastAsia="宋体" w:cs="宋体"/>
                <w:color w:val="auto"/>
                <w:szCs w:val="21"/>
                <w:highlight w:val="none"/>
              </w:rPr>
              <w:t>（如有)</w:t>
            </w:r>
          </w:p>
        </w:tc>
      </w:tr>
      <w:tr w14:paraId="77CC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065" w:type="dxa"/>
            <w:vAlign w:val="center"/>
          </w:tcPr>
          <w:p w14:paraId="4A0542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w:t>
            </w:r>
          </w:p>
        </w:tc>
        <w:tc>
          <w:tcPr>
            <w:tcW w:w="1498" w:type="dxa"/>
            <w:vAlign w:val="center"/>
          </w:tcPr>
          <w:p w14:paraId="0B35B9B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投标人要求澄清招标文件的时间和方式</w:t>
            </w:r>
          </w:p>
        </w:tc>
        <w:tc>
          <w:tcPr>
            <w:tcW w:w="6707" w:type="dxa"/>
            <w:vAlign w:val="center"/>
          </w:tcPr>
          <w:p w14:paraId="3E57F6D3">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截止时间：</w:t>
            </w:r>
            <w:r>
              <w:rPr>
                <w:rFonts w:hint="eastAsia" w:ascii="宋体" w:hAnsi="宋体" w:eastAsia="宋体" w:cs="宋体"/>
                <w:color w:val="auto"/>
                <w:szCs w:val="21"/>
                <w:highlight w:val="none"/>
                <w:u w:val="single"/>
              </w:rPr>
              <w:t xml:space="preserve"> 在投标截止时间 </w:t>
            </w:r>
            <w:r>
              <w:rPr>
                <w:rFonts w:hint="eastAsia" w:ascii="宋体" w:hAnsi="宋体" w:eastAsia="宋体" w:cs="宋体"/>
                <w:color w:val="auto"/>
                <w:szCs w:val="21"/>
                <w:highlight w:val="none"/>
                <w:u w:val="single"/>
                <w:lang w:val="en-US" w:eastAsia="zh-CN"/>
              </w:rPr>
              <w:t>3</w:t>
            </w:r>
            <w:r>
              <w:rPr>
                <w:rFonts w:hint="eastAsia" w:ascii="宋体" w:hAnsi="宋体" w:eastAsia="宋体" w:cs="宋体"/>
                <w:color w:val="auto"/>
                <w:szCs w:val="21"/>
                <w:highlight w:val="none"/>
                <w:u w:val="single"/>
              </w:rPr>
              <w:t xml:space="preserve"> 天前  </w:t>
            </w:r>
            <w:r>
              <w:rPr>
                <w:rFonts w:hint="eastAsia" w:ascii="宋体" w:hAnsi="宋体" w:eastAsia="宋体" w:cs="宋体"/>
                <w:color w:val="auto"/>
                <w:szCs w:val="21"/>
                <w:highlight w:val="none"/>
              </w:rPr>
              <w:t xml:space="preserve">  </w:t>
            </w:r>
          </w:p>
          <w:p w14:paraId="1C7BE21C">
            <w:pPr>
              <w:keepNext w:val="0"/>
              <w:keepLines w:val="0"/>
              <w:suppressLineNumbers w:val="0"/>
              <w:spacing w:before="0" w:beforeAutospacing="0" w:after="0" w:afterAutospacing="0" w:line="360" w:lineRule="auto"/>
              <w:ind w:left="-103" w:leftChars="-49" w:right="0" w:firstLine="442" w:firstLineChars="201"/>
              <w:rPr>
                <w:rFonts w:hint="eastAsia" w:ascii="宋体" w:hAnsi="宋体" w:eastAsia="宋体" w:cs="宋体"/>
                <w:color w:val="auto"/>
                <w:szCs w:val="21"/>
                <w:highlight w:val="none"/>
              </w:rPr>
            </w:pPr>
            <w:r>
              <w:rPr>
                <w:rFonts w:hint="eastAsia" w:ascii="宋体" w:hAnsi="宋体" w:eastAsia="宋体" w:cs="宋体"/>
                <w:color w:val="auto"/>
                <w:sz w:val="22"/>
                <w:szCs w:val="22"/>
                <w:highlight w:val="none"/>
                <w:u w:val="none"/>
              </w:rPr>
              <w:t>投标人要求澄清招标文件的提问方式：发</w:t>
            </w:r>
            <w:r>
              <w:rPr>
                <w:rFonts w:hint="eastAsia" w:ascii="宋体" w:hAnsi="宋体" w:eastAsia="宋体" w:cs="宋体"/>
                <w:color w:val="auto"/>
                <w:sz w:val="22"/>
                <w:szCs w:val="22"/>
                <w:highlight w:val="none"/>
                <w:u w:val="none"/>
                <w:lang w:eastAsia="zh-CN"/>
              </w:rPr>
              <w:t>送</w:t>
            </w:r>
            <w:r>
              <w:rPr>
                <w:rFonts w:hint="eastAsia" w:ascii="宋体" w:hAnsi="宋体" w:eastAsia="宋体" w:cs="宋体"/>
                <w:color w:val="auto"/>
                <w:sz w:val="22"/>
                <w:szCs w:val="22"/>
                <w:highlight w:val="none"/>
                <w:u w:val="none"/>
              </w:rPr>
              <w:t>至代理公司邮箱（</w:t>
            </w:r>
            <w:r>
              <w:rPr>
                <w:rFonts w:hint="eastAsia" w:ascii="宋体" w:hAnsi="宋体" w:cs="宋体"/>
                <w:color w:val="auto"/>
                <w:kern w:val="0"/>
                <w:szCs w:val="21"/>
                <w:lang w:eastAsia="zh-CN" w:bidi="ar"/>
              </w:rPr>
              <w:t>644492301</w:t>
            </w:r>
            <w:r>
              <w:rPr>
                <w:rFonts w:hint="eastAsia" w:ascii="宋体" w:hAnsi="宋体" w:cs="宋体"/>
                <w:color w:val="auto"/>
                <w:kern w:val="0"/>
                <w:szCs w:val="21"/>
                <w:lang w:bidi="ar"/>
              </w:rPr>
              <w:t>@qq.com</w:t>
            </w:r>
            <w:r>
              <w:rPr>
                <w:rFonts w:hint="eastAsia" w:ascii="宋体" w:hAnsi="宋体" w:eastAsia="宋体" w:cs="宋体"/>
                <w:color w:val="auto"/>
                <w:sz w:val="22"/>
                <w:szCs w:val="22"/>
                <w:highlight w:val="none"/>
                <w:u w:val="none"/>
              </w:rPr>
              <w:t>）提问</w:t>
            </w:r>
            <w:r>
              <w:rPr>
                <w:rFonts w:hint="eastAsia" w:ascii="宋体" w:hAnsi="宋体" w:eastAsia="宋体" w:cs="宋体"/>
                <w:color w:val="auto"/>
                <w:sz w:val="22"/>
                <w:szCs w:val="22"/>
                <w:highlight w:val="none"/>
                <w:u w:val="none"/>
                <w:lang w:eastAsia="zh-CN"/>
              </w:rPr>
              <w:t>，并电话通知</w:t>
            </w:r>
            <w:r>
              <w:rPr>
                <w:rFonts w:hint="eastAsia" w:ascii="宋体" w:hAnsi="宋体" w:eastAsia="宋体" w:cs="宋体"/>
                <w:color w:val="auto"/>
                <w:sz w:val="22"/>
                <w:szCs w:val="22"/>
                <w:highlight w:val="none"/>
                <w:u w:val="none"/>
              </w:rPr>
              <w:t>。</w:t>
            </w:r>
          </w:p>
        </w:tc>
      </w:tr>
      <w:tr w14:paraId="34A1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65" w:type="dxa"/>
            <w:vAlign w:val="center"/>
          </w:tcPr>
          <w:p w14:paraId="68B86E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w:t>
            </w:r>
          </w:p>
        </w:tc>
        <w:tc>
          <w:tcPr>
            <w:tcW w:w="1498" w:type="dxa"/>
            <w:vAlign w:val="center"/>
          </w:tcPr>
          <w:p w14:paraId="208E5B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投标截止时间</w:t>
            </w:r>
          </w:p>
        </w:tc>
        <w:tc>
          <w:tcPr>
            <w:tcW w:w="6707" w:type="dxa"/>
            <w:vAlign w:val="center"/>
          </w:tcPr>
          <w:p w14:paraId="12BA0A7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202</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01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27</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09 </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30 </w:t>
            </w:r>
            <w:r>
              <w:rPr>
                <w:rFonts w:hint="eastAsia" w:ascii="宋体" w:hAnsi="宋体" w:eastAsia="宋体" w:cs="宋体"/>
                <w:color w:val="auto"/>
                <w:sz w:val="21"/>
                <w:szCs w:val="21"/>
                <w:highlight w:val="none"/>
              </w:rPr>
              <w:t>分</w:t>
            </w:r>
          </w:p>
        </w:tc>
      </w:tr>
      <w:tr w14:paraId="6797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1D381F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2.2.3</w:t>
            </w:r>
          </w:p>
        </w:tc>
        <w:tc>
          <w:tcPr>
            <w:tcW w:w="1498" w:type="dxa"/>
            <w:vAlign w:val="center"/>
          </w:tcPr>
          <w:p w14:paraId="5FA0258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澄清和修改</w:t>
            </w:r>
          </w:p>
          <w:p w14:paraId="524917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招标文件的</w:t>
            </w:r>
          </w:p>
          <w:p w14:paraId="7251F6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方式</w:t>
            </w:r>
          </w:p>
        </w:tc>
        <w:tc>
          <w:tcPr>
            <w:tcW w:w="6707" w:type="dxa"/>
            <w:vAlign w:val="center"/>
          </w:tcPr>
          <w:p w14:paraId="6679E224">
            <w:pPr>
              <w:keepNext w:val="0"/>
              <w:keepLines w:val="0"/>
              <w:suppressLineNumbers w:val="0"/>
              <w:snapToGrid w:val="0"/>
              <w:spacing w:before="0" w:beforeAutospacing="0" w:after="0" w:afterAutospacing="0"/>
              <w:ind w:left="0" w:right="0"/>
              <w:rPr>
                <w:rFonts w:hint="eastAsia" w:ascii="宋体" w:hAnsi="宋体" w:eastAsia="宋体" w:cs="宋体"/>
                <w:color w:val="auto"/>
                <w:szCs w:val="21"/>
                <w:highlight w:val="none"/>
              </w:rPr>
            </w:pPr>
            <w:r>
              <w:rPr>
                <w:rFonts w:hint="default"/>
                <w:color w:val="auto"/>
                <w:szCs w:val="21"/>
              </w:rPr>
              <w:t>在</w:t>
            </w:r>
            <w:r>
              <w:rPr>
                <w:rFonts w:hint="default"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rPr>
              <w:t>江华瑶族自治县</w:t>
            </w:r>
            <w:r>
              <w:rPr>
                <w:rFonts w:hint="eastAsia" w:ascii="Times New Roman" w:hAnsi="Times New Roman" w:eastAsia="宋体" w:cs="Times New Roman"/>
                <w:color w:val="auto"/>
                <w:szCs w:val="21"/>
                <w:u w:val="single"/>
                <w:lang w:val="en-US" w:eastAsia="zh-CN"/>
              </w:rPr>
              <w:t>人民</w:t>
            </w:r>
            <w:r>
              <w:rPr>
                <w:rFonts w:hint="eastAsia" w:ascii="Times New Roman" w:hAnsi="Times New Roman" w:eastAsia="宋体" w:cs="Times New Roman"/>
                <w:color w:val="auto"/>
                <w:szCs w:val="21"/>
                <w:u w:val="single"/>
              </w:rPr>
              <w:t xml:space="preserve">政府网 </w:t>
            </w:r>
            <w:r>
              <w:rPr>
                <w:rFonts w:hint="default"/>
                <w:color w:val="auto"/>
                <w:szCs w:val="21"/>
              </w:rPr>
              <w:t>发布。</w:t>
            </w:r>
          </w:p>
        </w:tc>
      </w:tr>
      <w:tr w14:paraId="37726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65" w:type="dxa"/>
            <w:vAlign w:val="center"/>
          </w:tcPr>
          <w:p w14:paraId="77B8C7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w:t>
            </w:r>
          </w:p>
        </w:tc>
        <w:tc>
          <w:tcPr>
            <w:tcW w:w="1498" w:type="dxa"/>
            <w:vAlign w:val="center"/>
          </w:tcPr>
          <w:p w14:paraId="1DABDC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构成投标文件的的其他材料</w:t>
            </w:r>
          </w:p>
        </w:tc>
        <w:tc>
          <w:tcPr>
            <w:tcW w:w="6707" w:type="dxa"/>
            <w:vAlign w:val="center"/>
          </w:tcPr>
          <w:p w14:paraId="2C068791">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无</w:t>
            </w:r>
          </w:p>
        </w:tc>
      </w:tr>
      <w:tr w14:paraId="4558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65" w:type="dxa"/>
            <w:vAlign w:val="center"/>
          </w:tcPr>
          <w:p w14:paraId="0D5C698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w:t>
            </w:r>
          </w:p>
        </w:tc>
        <w:tc>
          <w:tcPr>
            <w:tcW w:w="1498" w:type="dxa"/>
            <w:vAlign w:val="center"/>
          </w:tcPr>
          <w:p w14:paraId="6C4C26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707" w:type="dxa"/>
            <w:vAlign w:val="center"/>
          </w:tcPr>
          <w:p w14:paraId="756CFD9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自投标截止之日起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90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天（日历天）</w:t>
            </w:r>
          </w:p>
        </w:tc>
      </w:tr>
      <w:tr w14:paraId="3B4B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65" w:type="dxa"/>
            <w:vAlign w:val="center"/>
          </w:tcPr>
          <w:p w14:paraId="418FDC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w:t>
            </w:r>
          </w:p>
        </w:tc>
        <w:tc>
          <w:tcPr>
            <w:tcW w:w="1498" w:type="dxa"/>
            <w:vAlign w:val="center"/>
          </w:tcPr>
          <w:p w14:paraId="1133B3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w:t>
            </w:r>
          </w:p>
        </w:tc>
        <w:tc>
          <w:tcPr>
            <w:tcW w:w="6707" w:type="dxa"/>
            <w:vAlign w:val="center"/>
          </w:tcPr>
          <w:p w14:paraId="669D7353">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□不要求提交投标担保</w:t>
            </w:r>
          </w:p>
          <w:p w14:paraId="2F2C8D2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☑要求提交投标担保</w:t>
            </w:r>
          </w:p>
          <w:p w14:paraId="628388CA">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1.形式：</w:t>
            </w:r>
          </w:p>
          <w:p w14:paraId="0653A96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（1）现金</w:t>
            </w:r>
            <w:r>
              <w:rPr>
                <w:rFonts w:hint="eastAsia" w:ascii="MS Gothic" w:hAnsi="MS Gothic" w:cs="MS Gothic"/>
                <w:color w:val="auto"/>
                <w:spacing w:val="7"/>
                <w:lang w:eastAsia="zh-CN"/>
              </w:rPr>
              <w:t>☑</w:t>
            </w:r>
          </w:p>
          <w:p w14:paraId="20FFAAD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（2）保函</w:t>
            </w:r>
            <w:r>
              <w:rPr>
                <w:rFonts w:hint="eastAsia" w:ascii="MS Gothic" w:hAnsi="MS Gothic" w:cs="MS Gothic"/>
                <w:color w:val="auto"/>
                <w:spacing w:val="7"/>
                <w:lang w:eastAsia="zh-CN"/>
              </w:rPr>
              <w:t>□</w:t>
            </w:r>
            <w:r>
              <w:rPr>
                <w:rFonts w:hint="eastAsia" w:ascii="宋体" w:hAnsi="宋体" w:eastAsia="宋体" w:cs="宋体"/>
                <w:color w:val="auto"/>
                <w:szCs w:val="21"/>
                <w:highlight w:val="none"/>
              </w:rPr>
              <w:t>（银行业金融机构、专业担保公司开立的无条件的、不可撤销的独立保函、保险公司开具的</w:t>
            </w:r>
            <w:r>
              <w:rPr>
                <w:rFonts w:hint="eastAsia" w:ascii="宋体" w:hAnsi="宋体" w:eastAsia="宋体" w:cs="宋体"/>
                <w:color w:val="auto"/>
                <w:szCs w:val="21"/>
                <w:highlight w:val="none"/>
                <w:lang w:val="en-US" w:eastAsia="zh-CN"/>
              </w:rPr>
              <w:t>见索即付</w:t>
            </w:r>
            <w:r>
              <w:rPr>
                <w:rFonts w:hint="eastAsia" w:ascii="宋体" w:hAnsi="宋体" w:eastAsia="宋体" w:cs="宋体"/>
                <w:color w:val="auto"/>
                <w:szCs w:val="21"/>
                <w:highlight w:val="none"/>
              </w:rPr>
              <w:t>的保证保险）</w:t>
            </w:r>
            <w:r>
              <w:rPr>
                <w:rFonts w:hint="eastAsia" w:ascii="宋体" w:hAnsi="宋体" w:cs="宋体"/>
                <w:color w:val="auto"/>
                <w:szCs w:val="21"/>
                <w:highlight w:val="none"/>
                <w:lang w:eastAsia="zh-CN"/>
              </w:rPr>
              <w:t>。</w:t>
            </w:r>
          </w:p>
          <w:p w14:paraId="3CCD716C">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（3）承诺</w:t>
            </w:r>
          </w:p>
          <w:p w14:paraId="41AEEB7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不接受承诺</w:t>
            </w:r>
          </w:p>
          <w:p w14:paraId="770D1476">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u w:val="none"/>
                <w:lang w:val="en-US" w:eastAsia="zh-CN"/>
              </w:rPr>
              <w:t>接受承诺</w:t>
            </w:r>
            <w:r>
              <w:rPr>
                <w:rFonts w:hint="eastAsia" w:ascii="宋体" w:hAnsi="宋体" w:eastAsia="宋体" w:cs="宋体"/>
                <w:color w:val="auto"/>
                <w:szCs w:val="21"/>
                <w:highlight w:val="none"/>
              </w:rPr>
              <w:t>，适用于所有投标人</w:t>
            </w:r>
          </w:p>
          <w:p w14:paraId="18C7F6A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szCs w:val="21"/>
                <w:highlight w:val="none"/>
              </w:rPr>
              <w:t>□接受承诺，仅适用于获得“湖南省建筑强企称号”或者参加“湖南省房屋建筑和市政基础设施工程施工及监理招标投标信用评价”且取得提交投标文件截止之时最新公布的信用评价结果满分的投标人以承诺形式递交的投标担保。</w:t>
            </w:r>
          </w:p>
          <w:p w14:paraId="08AB147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rPr>
              <w:t>2.现金担保金额：</w:t>
            </w:r>
            <w:r>
              <w:rPr>
                <w:rFonts w:hint="eastAsia" w:ascii="宋体" w:hAnsi="宋体" w:eastAsia="宋体" w:cs="宋体"/>
                <w:color w:val="auto"/>
                <w:szCs w:val="21"/>
                <w:highlight w:val="none"/>
                <w:u w:val="none"/>
                <w:lang w:val="en-US" w:eastAsia="zh-CN"/>
              </w:rPr>
              <w:t>人民币</w:t>
            </w:r>
            <w:r>
              <w:rPr>
                <w:rFonts w:hint="eastAsia" w:ascii="宋体" w:hAnsi="宋体" w:cs="宋体"/>
                <w:color w:val="auto"/>
                <w:szCs w:val="21"/>
                <w:highlight w:val="none"/>
                <w:u w:val="none"/>
                <w:lang w:val="en-US" w:eastAsia="zh-CN"/>
              </w:rPr>
              <w:t>陆万元整</w:t>
            </w:r>
            <w:r>
              <w:rPr>
                <w:rFonts w:hint="eastAsia" w:ascii="宋体" w:hAnsi="宋体" w:eastAsia="宋体" w:cs="宋体"/>
                <w:color w:val="auto"/>
                <w:szCs w:val="21"/>
                <w:highlight w:val="none"/>
                <w:u w:val="none"/>
                <w:lang w:val="en-US" w:eastAsia="zh-CN"/>
              </w:rPr>
              <w:t>（￥</w:t>
            </w:r>
            <w:r>
              <w:rPr>
                <w:rFonts w:hint="eastAsia" w:ascii="宋体" w:hAnsi="宋体" w:cs="宋体"/>
                <w:color w:val="auto"/>
                <w:szCs w:val="21"/>
                <w:highlight w:val="none"/>
                <w:u w:val="none"/>
                <w:lang w:val="en-US" w:eastAsia="zh-CN"/>
              </w:rPr>
              <w:t>60000</w:t>
            </w:r>
            <w:r>
              <w:rPr>
                <w:rFonts w:hint="eastAsia" w:ascii="宋体" w:hAnsi="宋体" w:eastAsia="宋体" w:cs="宋体"/>
                <w:color w:val="auto"/>
                <w:szCs w:val="21"/>
                <w:highlight w:val="none"/>
                <w:u w:val="none"/>
                <w:lang w:val="en-US" w:eastAsia="zh-CN"/>
              </w:rPr>
              <w:t>.00元）。</w:t>
            </w:r>
          </w:p>
          <w:p w14:paraId="42E79EB1">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3.提交方式：</w:t>
            </w:r>
          </w:p>
          <w:p w14:paraId="1FF231D1">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（1）采用现金的，在投标截止时间前（含），由投标人通过其基本账户转账到达如下账户</w:t>
            </w:r>
          </w:p>
          <w:p w14:paraId="7B6D4EC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rPr>
              <w:t>户    名：4305 0171 7508 0000 0033</w:t>
            </w:r>
          </w:p>
          <w:p w14:paraId="58B562AA">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rPr>
              <w:t>开户银行： 江华瑶族自治县公共资源交易中心</w:t>
            </w:r>
          </w:p>
          <w:p w14:paraId="5410BFF6">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rPr>
              <w:t>账    号： 中</w:t>
            </w:r>
            <w:r>
              <w:rPr>
                <w:rFonts w:hint="eastAsia" w:ascii="宋体" w:hAnsi="宋体" w:eastAsia="宋体" w:cs="宋体"/>
                <w:color w:val="auto"/>
                <w:szCs w:val="21"/>
                <w:highlight w:val="none"/>
                <w:u w:val="none"/>
                <w:lang w:val="en-US" w:eastAsia="zh-CN"/>
              </w:rPr>
              <w:t>国建设银行永州市江华县支行</w:t>
            </w:r>
          </w:p>
          <w:p w14:paraId="57C3570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（2）采用承诺或保函的，符合招标文件第七章投标文件格式第一节“投标函格式”规定。</w:t>
            </w:r>
          </w:p>
          <w:p w14:paraId="1F177D5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4.联合体投标的，由牵头人递交。</w:t>
            </w:r>
          </w:p>
          <w:p w14:paraId="18A8C3F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5.本项目投标保证金已委托</w:t>
            </w:r>
            <w:r>
              <w:rPr>
                <w:rFonts w:hint="eastAsia" w:ascii="宋体" w:hAnsi="宋体" w:eastAsia="宋体" w:cs="宋体"/>
                <w:color w:val="auto"/>
                <w:szCs w:val="21"/>
                <w:highlight w:val="none"/>
                <w:u w:val="none"/>
                <w:lang w:val="en-US" w:eastAsia="zh-CN"/>
              </w:rPr>
              <w:t xml:space="preserve"> 江华瑶族自治县重点项目服务中心</w:t>
            </w:r>
            <w:r>
              <w:rPr>
                <w:rFonts w:hint="eastAsia" w:ascii="宋体" w:hAnsi="宋体" w:eastAsia="宋体" w:cs="宋体"/>
                <w:color w:val="auto"/>
                <w:szCs w:val="21"/>
                <w:highlight w:val="none"/>
                <w:lang w:val="en-US" w:eastAsia="zh-CN"/>
              </w:rPr>
              <w:t>（交易中心名称）</w:t>
            </w:r>
            <w:r>
              <w:rPr>
                <w:rFonts w:hint="eastAsia" w:ascii="宋体" w:hAnsi="宋体" w:eastAsia="宋体" w:cs="宋体"/>
                <w:color w:val="auto"/>
                <w:szCs w:val="21"/>
                <w:highlight w:val="none"/>
              </w:rPr>
              <w:t>进行收退、保密、保管。</w:t>
            </w:r>
          </w:p>
          <w:p w14:paraId="3FDF74C9">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.其他：</w:t>
            </w:r>
            <w:r>
              <w:rPr>
                <w:rFonts w:hint="eastAsia" w:ascii="宋体" w:hAnsi="宋体" w:eastAsia="宋体" w:cs="宋体"/>
                <w:color w:val="auto"/>
                <w:szCs w:val="21"/>
                <w:highlight w:val="none"/>
                <w:u w:val="none"/>
              </w:rPr>
              <w:t xml:space="preserve">  </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u w:val="none"/>
              </w:rPr>
              <w:t xml:space="preserve">               </w:t>
            </w:r>
          </w:p>
        </w:tc>
      </w:tr>
      <w:tr w14:paraId="339B6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065" w:type="dxa"/>
            <w:vAlign w:val="center"/>
          </w:tcPr>
          <w:p w14:paraId="1135D3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3.6</w:t>
            </w:r>
          </w:p>
        </w:tc>
        <w:tc>
          <w:tcPr>
            <w:tcW w:w="1498" w:type="dxa"/>
            <w:vAlign w:val="center"/>
          </w:tcPr>
          <w:p w14:paraId="2DCBE90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是否允许递交备选投标方案</w:t>
            </w:r>
          </w:p>
        </w:tc>
        <w:tc>
          <w:tcPr>
            <w:tcW w:w="6707" w:type="dxa"/>
            <w:vAlign w:val="center"/>
          </w:tcPr>
          <w:p w14:paraId="4B9B523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不允许</w:t>
            </w:r>
          </w:p>
          <w:p w14:paraId="30165B3C">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允许</w:t>
            </w:r>
          </w:p>
        </w:tc>
      </w:tr>
      <w:tr w14:paraId="1360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1065" w:type="dxa"/>
            <w:vAlign w:val="center"/>
          </w:tcPr>
          <w:p w14:paraId="76D672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1498" w:type="dxa"/>
            <w:vAlign w:val="center"/>
          </w:tcPr>
          <w:p w14:paraId="56F8BC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签字和（或）盖章要求</w:t>
            </w:r>
          </w:p>
        </w:tc>
        <w:tc>
          <w:tcPr>
            <w:tcW w:w="6707" w:type="dxa"/>
            <w:vAlign w:val="center"/>
          </w:tcPr>
          <w:p w14:paraId="07A8504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投标文件应当由法定代表人（或其委托代理人）签名（或加盖印章），并加盖投标人的单位公章。投标人加盖的单位公章与其营业执照的单位名称应当一致。</w:t>
            </w:r>
            <w:r>
              <w:rPr>
                <w:rFonts w:hint="eastAsia" w:ascii="宋体" w:hAnsi="宋体" w:eastAsia="宋体" w:cs="宋体"/>
                <w:bCs/>
                <w:color w:val="auto"/>
                <w:szCs w:val="21"/>
                <w:highlight w:val="none"/>
                <w:lang w:val="en-US" w:eastAsia="zh-CN"/>
              </w:rPr>
              <w:t xml:space="preserve"> </w:t>
            </w:r>
          </w:p>
        </w:tc>
      </w:tr>
      <w:tr w14:paraId="7086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5" w:type="dxa"/>
            <w:vAlign w:val="center"/>
          </w:tcPr>
          <w:p w14:paraId="1E146A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3.7.4</w:t>
            </w:r>
          </w:p>
        </w:tc>
        <w:tc>
          <w:tcPr>
            <w:tcW w:w="1498" w:type="dxa"/>
            <w:vAlign w:val="center"/>
          </w:tcPr>
          <w:p w14:paraId="16EBBF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投标文件份数</w:t>
            </w:r>
          </w:p>
        </w:tc>
        <w:tc>
          <w:tcPr>
            <w:tcW w:w="6707" w:type="dxa"/>
            <w:vAlign w:val="center"/>
          </w:tcPr>
          <w:p w14:paraId="4781CEFF">
            <w:pPr>
              <w:keepNext w:val="0"/>
              <w:keepLines w:val="0"/>
              <w:suppressLineNumbers w:val="0"/>
              <w:spacing w:before="0" w:beforeAutospacing="0" w:after="0" w:afterAutospacing="0"/>
              <w:ind w:left="-103" w:leftChars="-49" w:right="0" w:firstLine="422" w:firstLineChars="201"/>
              <w:rPr>
                <w:rFonts w:hint="eastAsia"/>
                <w:color w:val="auto"/>
                <w:szCs w:val="21"/>
                <w:lang w:eastAsia="zh-CN"/>
              </w:rPr>
            </w:pPr>
            <w:r>
              <w:rPr>
                <w:rFonts w:hint="eastAsia" w:eastAsia="宋体"/>
                <w:color w:val="auto"/>
                <w:szCs w:val="21"/>
                <w:lang w:val="en-US" w:eastAsia="zh-CN"/>
              </w:rPr>
              <w:t>投标文件</w:t>
            </w:r>
            <w:r>
              <w:rPr>
                <w:rFonts w:hint="default"/>
                <w:color w:val="auto"/>
                <w:szCs w:val="21"/>
              </w:rPr>
              <w:t>一式</w:t>
            </w:r>
            <w:r>
              <w:rPr>
                <w:rFonts w:hint="eastAsia"/>
                <w:color w:val="auto"/>
                <w:szCs w:val="21"/>
                <w:u w:val="single"/>
                <w:lang w:val="en-US" w:eastAsia="zh-CN"/>
              </w:rPr>
              <w:t>伍</w:t>
            </w:r>
            <w:r>
              <w:rPr>
                <w:rFonts w:hint="default"/>
                <w:color w:val="auto"/>
                <w:szCs w:val="21"/>
              </w:rPr>
              <w:t>份，其中：正本</w:t>
            </w:r>
            <w:r>
              <w:rPr>
                <w:rFonts w:hint="eastAsia"/>
                <w:color w:val="auto"/>
                <w:szCs w:val="21"/>
                <w:u w:val="single"/>
                <w:lang w:eastAsia="zh-CN"/>
              </w:rPr>
              <w:t>壹</w:t>
            </w:r>
            <w:r>
              <w:rPr>
                <w:rFonts w:hint="default"/>
                <w:color w:val="auto"/>
                <w:szCs w:val="21"/>
              </w:rPr>
              <w:t>份，副本</w:t>
            </w:r>
            <w:r>
              <w:rPr>
                <w:rFonts w:hint="eastAsia"/>
                <w:color w:val="auto"/>
                <w:szCs w:val="21"/>
                <w:u w:val="single"/>
                <w:lang w:val="en-US" w:eastAsia="zh-CN"/>
              </w:rPr>
              <w:t>肆</w:t>
            </w:r>
            <w:r>
              <w:rPr>
                <w:rFonts w:hint="default"/>
                <w:color w:val="auto"/>
                <w:szCs w:val="21"/>
              </w:rPr>
              <w:t>份</w:t>
            </w:r>
            <w:r>
              <w:rPr>
                <w:rFonts w:hint="eastAsia"/>
                <w:color w:val="auto"/>
                <w:szCs w:val="21"/>
                <w:lang w:eastAsia="zh-CN"/>
              </w:rPr>
              <w:t>，</w:t>
            </w:r>
          </w:p>
          <w:p w14:paraId="0C3426DD">
            <w:pPr>
              <w:keepNext w:val="0"/>
              <w:keepLines w:val="0"/>
              <w:suppressLineNumbers w:val="0"/>
              <w:spacing w:before="0" w:beforeAutospacing="0" w:after="0" w:afterAutospacing="0"/>
              <w:ind w:left="-103" w:leftChars="-49" w:right="0" w:firstLine="424" w:firstLineChars="201"/>
              <w:rPr>
                <w:rFonts w:hint="eastAsia" w:ascii="宋体" w:hAnsi="宋体" w:cs="宋体"/>
                <w:b/>
                <w:color w:val="auto"/>
                <w:szCs w:val="21"/>
              </w:rPr>
            </w:pPr>
          </w:p>
          <w:p w14:paraId="748732C5">
            <w:pPr>
              <w:keepNext w:val="0"/>
              <w:keepLines w:val="0"/>
              <w:suppressLineNumbers w:val="0"/>
              <w:spacing w:before="0" w:beforeAutospacing="0" w:after="0" w:afterAutospacing="0" w:line="360" w:lineRule="auto"/>
              <w:ind w:left="-103" w:leftChars="-49" w:right="0" w:firstLine="424" w:firstLineChars="201"/>
              <w:rPr>
                <w:rFonts w:hint="eastAsia" w:ascii="宋体" w:hAnsi="宋体" w:eastAsia="宋体" w:cs="宋体"/>
                <w:color w:val="auto"/>
                <w:szCs w:val="21"/>
                <w:highlight w:val="none"/>
                <w:lang w:eastAsia="zh-CN"/>
              </w:rPr>
            </w:pPr>
            <w:r>
              <w:rPr>
                <w:rFonts w:hint="eastAsia" w:ascii="宋体" w:hAnsi="宋体" w:eastAsia="宋体" w:cs="宋体"/>
                <w:b/>
                <w:color w:val="auto"/>
                <w:szCs w:val="21"/>
                <w:highlight w:val="none"/>
                <w:lang w:eastAsia="zh-CN"/>
              </w:rPr>
              <w:t>投标文件电子版一份，</w:t>
            </w:r>
            <w:r>
              <w:rPr>
                <w:rFonts w:hint="eastAsia" w:ascii="宋体" w:hAnsi="宋体" w:eastAsia="宋体" w:cs="宋体"/>
                <w:color w:val="auto"/>
                <w:szCs w:val="21"/>
                <w:highlight w:val="none"/>
              </w:rPr>
              <w:t>单独放入一个密封套中，加贴封条，</w:t>
            </w:r>
            <w:r>
              <w:rPr>
                <w:rFonts w:hint="eastAsia" w:ascii="宋体" w:hAnsi="宋体" w:eastAsia="宋体" w:cs="宋体"/>
                <w:color w:val="auto"/>
                <w:spacing w:val="6"/>
                <w:szCs w:val="21"/>
                <w:highlight w:val="none"/>
              </w:rPr>
              <w:t>并在封套封口处加盖投标人</w:t>
            </w:r>
            <w:r>
              <w:rPr>
                <w:rFonts w:hint="eastAsia" w:ascii="宋体" w:hAnsi="宋体" w:eastAsia="宋体" w:cs="宋体"/>
                <w:color w:val="auto"/>
                <w:szCs w:val="21"/>
                <w:highlight w:val="none"/>
              </w:rPr>
              <w:t>单位章，在封套上标记“投标文件电子版”字</w:t>
            </w:r>
          </w:p>
        </w:tc>
      </w:tr>
      <w:tr w14:paraId="34F7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5" w:type="dxa"/>
            <w:vAlign w:val="center"/>
          </w:tcPr>
          <w:p w14:paraId="162AD1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3.7.</w:t>
            </w:r>
            <w:r>
              <w:rPr>
                <w:rFonts w:hint="eastAsia" w:ascii="宋体" w:hAnsi="宋体" w:eastAsia="宋体" w:cs="宋体"/>
                <w:color w:val="auto"/>
                <w:szCs w:val="21"/>
                <w:highlight w:val="none"/>
                <w:lang w:val="en-US" w:eastAsia="zh-CN"/>
              </w:rPr>
              <w:t>5</w:t>
            </w:r>
          </w:p>
        </w:tc>
        <w:tc>
          <w:tcPr>
            <w:tcW w:w="1498" w:type="dxa"/>
            <w:vAlign w:val="center"/>
          </w:tcPr>
          <w:p w14:paraId="1F101B4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装订</w:t>
            </w:r>
            <w:r>
              <w:rPr>
                <w:rFonts w:hint="eastAsia" w:ascii="宋体" w:hAnsi="宋体" w:eastAsia="宋体" w:cs="宋体"/>
                <w:color w:val="auto"/>
                <w:szCs w:val="21"/>
                <w:highlight w:val="none"/>
              </w:rPr>
              <w:t>要求</w:t>
            </w:r>
          </w:p>
        </w:tc>
        <w:tc>
          <w:tcPr>
            <w:tcW w:w="6707" w:type="dxa"/>
            <w:vAlign w:val="center"/>
          </w:tcPr>
          <w:p w14:paraId="52C6E9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211" w:firstLineChars="100"/>
              <w:textAlignment w:val="auto"/>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分册装订，共分</w:t>
            </w:r>
            <w:r>
              <w:rPr>
                <w:rFonts w:hint="eastAsia" w:ascii="宋体" w:hAnsi="宋体" w:eastAsia="宋体" w:cs="宋体"/>
                <w:b/>
                <w:bCs/>
                <w:color w:val="auto"/>
                <w:szCs w:val="21"/>
                <w:highlight w:val="none"/>
                <w:u w:val="single"/>
                <w:lang w:val="en-US" w:eastAsia="zh-CN"/>
              </w:rPr>
              <w:t>3</w:t>
            </w:r>
            <w:r>
              <w:rPr>
                <w:rFonts w:hint="eastAsia" w:ascii="宋体" w:hAnsi="宋体" w:eastAsia="宋体" w:cs="宋体"/>
                <w:b/>
                <w:bCs/>
                <w:color w:val="auto"/>
                <w:szCs w:val="21"/>
                <w:highlight w:val="none"/>
              </w:rPr>
              <w:t>册，</w:t>
            </w:r>
            <w:r>
              <w:rPr>
                <w:rFonts w:hint="eastAsia" w:ascii="宋体" w:hAnsi="宋体" w:eastAsia="宋体" w:cs="宋体"/>
                <w:color w:val="auto"/>
                <w:szCs w:val="21"/>
                <w:highlight w:val="none"/>
              </w:rPr>
              <w:t>分别为：</w:t>
            </w:r>
          </w:p>
          <w:p w14:paraId="2D5116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投标函：包括投标函封面和目录的内容；</w:t>
            </w:r>
          </w:p>
          <w:p w14:paraId="295634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210" w:firstLineChars="1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投标报价：包括投标报价封面和目录内容；</w:t>
            </w:r>
          </w:p>
          <w:p w14:paraId="6CB9C1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210" w:firstLineChars="10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施工组织设计：</w:t>
            </w:r>
            <w:r>
              <w:rPr>
                <w:rFonts w:hint="eastAsia" w:ascii="宋体" w:hAnsi="宋体" w:eastAsia="宋体" w:cs="宋体"/>
                <w:color w:val="auto"/>
                <w:szCs w:val="21"/>
                <w:highlight w:val="none"/>
              </w:rPr>
              <w:t>包括</w:t>
            </w:r>
            <w:r>
              <w:rPr>
                <w:rFonts w:hint="eastAsia" w:ascii="宋体" w:hAnsi="宋体" w:eastAsia="宋体" w:cs="宋体"/>
                <w:color w:val="auto"/>
                <w:szCs w:val="21"/>
                <w:highlight w:val="none"/>
                <w:lang w:val="en-US" w:eastAsia="zh-CN"/>
              </w:rPr>
              <w:t>施工组织设计</w:t>
            </w:r>
            <w:r>
              <w:rPr>
                <w:rFonts w:hint="eastAsia" w:ascii="宋体" w:hAnsi="宋体" w:eastAsia="宋体" w:cs="宋体"/>
                <w:color w:val="auto"/>
                <w:szCs w:val="21"/>
                <w:highlight w:val="none"/>
              </w:rPr>
              <w:t>封面和目录的内容</w:t>
            </w:r>
          </w:p>
          <w:p w14:paraId="37822E57">
            <w:pPr>
              <w:pStyle w:val="2"/>
              <w:keepNext w:val="0"/>
              <w:keepLines w:val="0"/>
              <w:suppressLineNumbers w:val="0"/>
              <w:spacing w:before="0" w:beforeAutospacing="0" w:after="0" w:afterAutospacing="0"/>
              <w:ind w:left="0" w:right="0"/>
              <w:rPr>
                <w:rFonts w:hint="eastAsia"/>
                <w:color w:val="auto"/>
              </w:rPr>
            </w:pPr>
            <w:r>
              <w:rPr>
                <w:rFonts w:hint="eastAsia" w:ascii="宋体" w:hAnsi="宋体" w:eastAsia="宋体" w:cs="宋体"/>
                <w:b/>
                <w:color w:val="auto"/>
                <w:kern w:val="0"/>
                <w:szCs w:val="21"/>
                <w:highlight w:val="none"/>
              </w:rPr>
              <w:t>注：投标函部分中的“投标函”“投标函附录”另行单独准备一份，用信封包装密封后附于投标文件密封袋上与投标文件一同递交。以便于开标时唱标和查询。</w:t>
            </w:r>
          </w:p>
        </w:tc>
      </w:tr>
      <w:tr w14:paraId="06B4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72FC0A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w:t>
            </w:r>
          </w:p>
        </w:tc>
        <w:tc>
          <w:tcPr>
            <w:tcW w:w="1498" w:type="dxa"/>
            <w:vAlign w:val="center"/>
          </w:tcPr>
          <w:p w14:paraId="724D534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投标文件加密  要求</w:t>
            </w:r>
          </w:p>
        </w:tc>
        <w:tc>
          <w:tcPr>
            <w:tcW w:w="6707" w:type="dxa"/>
            <w:vAlign w:val="center"/>
          </w:tcPr>
          <w:p w14:paraId="34589303">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无</w:t>
            </w:r>
          </w:p>
        </w:tc>
      </w:tr>
      <w:tr w14:paraId="45B5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065" w:type="dxa"/>
            <w:vAlign w:val="center"/>
          </w:tcPr>
          <w:p w14:paraId="7AAEDB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pacing w:val="-1"/>
                <w:sz w:val="21"/>
                <w:szCs w:val="21"/>
                <w:highlight w:val="none"/>
              </w:rPr>
              <w:t>4.1.2</w:t>
            </w:r>
          </w:p>
        </w:tc>
        <w:tc>
          <w:tcPr>
            <w:tcW w:w="1498" w:type="dxa"/>
            <w:vAlign w:val="center"/>
          </w:tcPr>
          <w:p w14:paraId="786E49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封套上应载明的信息</w:t>
            </w:r>
          </w:p>
        </w:tc>
        <w:tc>
          <w:tcPr>
            <w:tcW w:w="6707" w:type="dxa"/>
            <w:vAlign w:val="center"/>
          </w:tcPr>
          <w:p w14:paraId="123018A4">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投标函/投标报价</w:t>
            </w:r>
          </w:p>
          <w:p w14:paraId="247A007D">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招标人名称：</w:t>
            </w:r>
            <w:r>
              <w:rPr>
                <w:rFonts w:hint="eastAsia" w:ascii="宋体" w:hAnsi="宋体" w:eastAsia="宋体" w:cs="宋体"/>
                <w:color w:val="auto"/>
                <w:szCs w:val="21"/>
                <w:highlight w:val="none"/>
                <w:u w:val="single"/>
              </w:rPr>
              <w:t xml:space="preserve">                  </w:t>
            </w:r>
          </w:p>
          <w:p w14:paraId="6F5DC322">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招标人地址：</w:t>
            </w:r>
            <w:r>
              <w:rPr>
                <w:rFonts w:hint="eastAsia" w:ascii="宋体" w:hAnsi="宋体" w:eastAsia="宋体" w:cs="宋体"/>
                <w:color w:val="auto"/>
                <w:szCs w:val="21"/>
                <w:highlight w:val="none"/>
                <w:u w:val="single"/>
              </w:rPr>
              <w:t xml:space="preserve">                  </w:t>
            </w:r>
          </w:p>
          <w:p w14:paraId="01AADD72">
            <w:pPr>
              <w:keepNext w:val="0"/>
              <w:keepLines w:val="0"/>
              <w:suppressLineNumbers w:val="0"/>
              <w:snapToGrid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投标人全称（盖公章）：</w:t>
            </w:r>
            <w:r>
              <w:rPr>
                <w:rFonts w:hint="eastAsia" w:ascii="宋体" w:hAnsi="宋体" w:eastAsia="宋体" w:cs="宋体"/>
                <w:color w:val="auto"/>
                <w:szCs w:val="21"/>
                <w:highlight w:val="none"/>
                <w:u w:val="single"/>
              </w:rPr>
              <w:t xml:space="preserve">        </w:t>
            </w:r>
          </w:p>
          <w:p w14:paraId="4C337D00">
            <w:pPr>
              <w:keepNext w:val="0"/>
              <w:keepLines w:val="0"/>
              <w:suppressLineNumbers w:val="0"/>
              <w:snapToGrid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投标人的地址：</w:t>
            </w:r>
            <w:r>
              <w:rPr>
                <w:rFonts w:hint="eastAsia" w:ascii="宋体" w:hAnsi="宋体" w:eastAsia="宋体" w:cs="宋体"/>
                <w:color w:val="auto"/>
                <w:szCs w:val="21"/>
                <w:highlight w:val="none"/>
                <w:u w:val="single"/>
              </w:rPr>
              <w:t xml:space="preserve">                </w:t>
            </w:r>
          </w:p>
          <w:p w14:paraId="7A6012F7">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bCs/>
                <w:color w:val="auto"/>
                <w:szCs w:val="21"/>
                <w:highlight w:val="none"/>
              </w:rPr>
            </w:pPr>
            <w:r>
              <w:rPr>
                <w:rFonts w:hint="eastAsia" w:ascii="宋体" w:hAnsi="宋体" w:eastAsia="宋体" w:cs="宋体"/>
                <w:color w:val="auto"/>
                <w:szCs w:val="21"/>
                <w:highlight w:val="none"/>
                <w:u w:val="single"/>
              </w:rPr>
              <w:t xml:space="preserve">        （项目名称）   </w:t>
            </w:r>
            <w:r>
              <w:rPr>
                <w:rFonts w:hint="eastAsia" w:ascii="宋体" w:hAnsi="宋体" w:eastAsia="宋体" w:cs="宋体"/>
                <w:color w:val="auto"/>
                <w:szCs w:val="21"/>
                <w:highlight w:val="none"/>
              </w:rPr>
              <w:t>标段投标文件在</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Cs w:val="21"/>
                <w:highlight w:val="none"/>
              </w:rPr>
              <w:t>分前不得开启</w:t>
            </w:r>
          </w:p>
        </w:tc>
      </w:tr>
      <w:tr w14:paraId="5541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065" w:type="dxa"/>
            <w:vAlign w:val="center"/>
          </w:tcPr>
          <w:p w14:paraId="61532C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4.2.2</w:t>
            </w:r>
          </w:p>
        </w:tc>
        <w:tc>
          <w:tcPr>
            <w:tcW w:w="1498" w:type="dxa"/>
            <w:vAlign w:val="center"/>
          </w:tcPr>
          <w:p w14:paraId="6A151D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递交投标文件</w:t>
            </w:r>
          </w:p>
          <w:p w14:paraId="43B049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6707" w:type="dxa"/>
            <w:vAlign w:val="center"/>
          </w:tcPr>
          <w:p w14:paraId="475B7A6B">
            <w:pPr>
              <w:keepNext w:val="0"/>
              <w:keepLines w:val="0"/>
              <w:suppressLineNumbers w:val="0"/>
              <w:snapToGrid w:val="0"/>
              <w:spacing w:before="0" w:beforeAutospacing="0" w:after="0" w:afterAutospacing="0" w:line="360" w:lineRule="auto"/>
              <w:ind w:left="-103" w:leftChars="-49" w:right="0" w:firstLine="418" w:firstLineChars="201"/>
              <w:jc w:val="left"/>
              <w:rPr>
                <w:rFonts w:hint="eastAsia" w:ascii="宋体" w:hAnsi="宋体" w:eastAsia="宋体" w:cs="宋体"/>
                <w:color w:val="auto"/>
                <w:szCs w:val="21"/>
                <w:highlight w:val="none"/>
              </w:rPr>
            </w:pPr>
            <w:r>
              <w:rPr>
                <w:rFonts w:hint="eastAsia" w:ascii="宋体" w:hAnsi="宋体" w:eastAsia="宋体" w:cs="宋体"/>
                <w:color w:val="auto"/>
                <w:spacing w:val="-1"/>
                <w:sz w:val="21"/>
                <w:szCs w:val="21"/>
                <w:highlight w:val="none"/>
                <w:u w:val="none"/>
                <w:lang w:eastAsia="zh-CN"/>
              </w:rPr>
              <w:t>☑</w:t>
            </w:r>
            <w:r>
              <w:rPr>
                <w:rFonts w:hint="eastAsia" w:ascii="宋体" w:hAnsi="宋体" w:eastAsia="宋体" w:cs="宋体"/>
                <w:color w:val="auto"/>
                <w:spacing w:val="-1"/>
                <w:sz w:val="21"/>
                <w:szCs w:val="21"/>
                <w:highlight w:val="none"/>
                <w:u w:val="none"/>
              </w:rPr>
              <w:t>纸</w:t>
            </w:r>
            <w:r>
              <w:rPr>
                <w:rFonts w:hint="eastAsia" w:ascii="宋体" w:hAnsi="宋体" w:eastAsia="宋体" w:cs="宋体"/>
                <w:snapToGrid w:val="0"/>
                <w:color w:val="auto"/>
                <w:spacing w:val="8"/>
                <w:kern w:val="0"/>
                <w:sz w:val="21"/>
                <w:szCs w:val="21"/>
                <w:highlight w:val="none"/>
                <w:u w:val="none"/>
                <w:lang w:val="en-US" w:eastAsia="en-US" w:bidi="ar-SA"/>
              </w:rPr>
              <w:t xml:space="preserve">质投标文件递交至 </w:t>
            </w:r>
            <w:r>
              <w:rPr>
                <w:rFonts w:hint="eastAsia" w:ascii="宋体" w:hAnsi="宋体" w:eastAsia="宋体" w:cs="宋体"/>
                <w:snapToGrid w:val="0"/>
                <w:color w:val="auto"/>
                <w:spacing w:val="8"/>
                <w:kern w:val="0"/>
                <w:sz w:val="21"/>
                <w:szCs w:val="21"/>
                <w:highlight w:val="none"/>
                <w:u w:val="none"/>
                <w:lang w:val="en-US" w:eastAsia="zh-CN" w:bidi="ar-SA"/>
              </w:rPr>
              <w:t xml:space="preserve"> 江华瑶族自治县重点项目服务中心（江华瑶族自治县交通警察大队综合楼7楼） </w:t>
            </w:r>
          </w:p>
        </w:tc>
      </w:tr>
      <w:tr w14:paraId="3344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065" w:type="dxa"/>
            <w:vAlign w:val="center"/>
          </w:tcPr>
          <w:p w14:paraId="2C3E68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4.2.3</w:t>
            </w:r>
          </w:p>
        </w:tc>
        <w:tc>
          <w:tcPr>
            <w:tcW w:w="1498" w:type="dxa"/>
            <w:vAlign w:val="center"/>
          </w:tcPr>
          <w:p w14:paraId="6E604D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是否退还投标</w:t>
            </w:r>
          </w:p>
          <w:p w14:paraId="5417E5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文件</w:t>
            </w:r>
          </w:p>
        </w:tc>
        <w:tc>
          <w:tcPr>
            <w:tcW w:w="6707" w:type="dxa"/>
            <w:vAlign w:val="center"/>
          </w:tcPr>
          <w:p w14:paraId="15C4E84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否</w:t>
            </w:r>
          </w:p>
          <w:p w14:paraId="6476E862">
            <w:pPr>
              <w:keepNext w:val="0"/>
              <w:keepLines w:val="0"/>
              <w:suppressLineNumbers w:val="0"/>
              <w:snapToGrid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是，退还时间：</w:t>
            </w:r>
          </w:p>
        </w:tc>
      </w:tr>
      <w:tr w14:paraId="045CA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065" w:type="dxa"/>
            <w:vAlign w:val="center"/>
          </w:tcPr>
          <w:p w14:paraId="4F8827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5.1</w:t>
            </w:r>
          </w:p>
        </w:tc>
        <w:tc>
          <w:tcPr>
            <w:tcW w:w="1498" w:type="dxa"/>
            <w:vAlign w:val="center"/>
          </w:tcPr>
          <w:p w14:paraId="78DE94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开标时间和地点</w:t>
            </w:r>
          </w:p>
        </w:tc>
        <w:tc>
          <w:tcPr>
            <w:tcW w:w="6707" w:type="dxa"/>
            <w:vAlign w:val="center"/>
          </w:tcPr>
          <w:p w14:paraId="37811335">
            <w:pPr>
              <w:keepNext w:val="0"/>
              <w:keepLines w:val="0"/>
              <w:suppressLineNumbers w:val="0"/>
              <w:spacing w:before="0" w:beforeAutospacing="0" w:after="0" w:afterAutospacing="0" w:line="360" w:lineRule="auto"/>
              <w:ind w:left="0" w:leftChars="0" w:right="0" w:firstLine="422" w:firstLineChars="201"/>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开标时间：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202</w:t>
            </w:r>
            <w:r>
              <w:rPr>
                <w:rFonts w:hint="eastAsia" w:ascii="宋体" w:hAnsi="宋体" w:cs="宋体"/>
                <w:color w:val="auto"/>
                <w:sz w:val="21"/>
                <w:szCs w:val="21"/>
                <w:highlight w:val="none"/>
                <w:u w:val="single"/>
                <w:lang w:val="en-US" w:eastAsia="zh-CN"/>
              </w:rPr>
              <w:t>5</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01</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27</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09 </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30  </w:t>
            </w:r>
            <w:r>
              <w:rPr>
                <w:rFonts w:hint="eastAsia" w:ascii="宋体" w:hAnsi="宋体" w:eastAsia="宋体" w:cs="宋体"/>
                <w:color w:val="auto"/>
                <w:sz w:val="21"/>
                <w:szCs w:val="21"/>
                <w:highlight w:val="none"/>
              </w:rPr>
              <w:t>分</w:t>
            </w:r>
          </w:p>
          <w:p w14:paraId="2413250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rPr>
              <w:t>开标地点：</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pacing w:val="-2"/>
                <w:kern w:val="2"/>
                <w:sz w:val="21"/>
                <w:szCs w:val="21"/>
                <w:highlight w:val="none"/>
                <w:u w:val="none"/>
                <w:lang w:val="en-US" w:eastAsia="zh-CN" w:bidi="ar-SA"/>
              </w:rPr>
              <w:t>江华瑶族自治县重点项目服务中心（江华瑶族自治县交通警察大队综合楼7楼）</w:t>
            </w:r>
            <w:r>
              <w:rPr>
                <w:rFonts w:hint="eastAsia" w:ascii="宋体" w:hAnsi="宋体" w:eastAsia="宋体" w:cs="宋体"/>
                <w:color w:val="auto"/>
                <w:szCs w:val="21"/>
                <w:highlight w:val="none"/>
                <w:u w:val="none"/>
                <w:lang w:val="en-US" w:eastAsia="zh-CN"/>
              </w:rPr>
              <w:t xml:space="preserve">  </w:t>
            </w:r>
          </w:p>
        </w:tc>
      </w:tr>
      <w:tr w14:paraId="7AC2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65" w:type="dxa"/>
            <w:vAlign w:val="center"/>
          </w:tcPr>
          <w:p w14:paraId="786BCEE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w:t>
            </w:r>
          </w:p>
        </w:tc>
        <w:tc>
          <w:tcPr>
            <w:tcW w:w="1498" w:type="dxa"/>
            <w:vAlign w:val="center"/>
          </w:tcPr>
          <w:p w14:paraId="3FE86C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评标委员会的      组建</w:t>
            </w:r>
          </w:p>
        </w:tc>
        <w:tc>
          <w:tcPr>
            <w:tcW w:w="6707" w:type="dxa"/>
            <w:vAlign w:val="center"/>
          </w:tcPr>
          <w:p w14:paraId="7B835C3B">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评标委员会成员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5</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人或以上单数，其中：招标人代表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w:t>
            </w:r>
          </w:p>
          <w:p w14:paraId="6D26E446">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评标专家确定方式：</w:t>
            </w:r>
            <w:r>
              <w:rPr>
                <w:rFonts w:hint="eastAsia" w:ascii="宋体" w:hAnsi="宋体" w:eastAsia="宋体" w:cs="宋体"/>
                <w:color w:val="auto"/>
                <w:szCs w:val="21"/>
                <w:highlight w:val="none"/>
                <w:u w:val="single"/>
              </w:rPr>
              <w:t xml:space="preserve"> 从湖南省综合评标专家库</w:t>
            </w:r>
            <w:r>
              <w:rPr>
                <w:rFonts w:hint="eastAsia" w:ascii="宋体" w:hAnsi="宋体" w:eastAsia="宋体" w:cs="宋体"/>
                <w:color w:val="auto"/>
                <w:szCs w:val="21"/>
                <w:highlight w:val="none"/>
                <w:u w:val="single"/>
                <w:lang w:val="en-US" w:eastAsia="zh-CN"/>
              </w:rPr>
              <w:t>中随机抽取</w:t>
            </w:r>
            <w:r>
              <w:rPr>
                <w:rFonts w:hint="eastAsia" w:ascii="宋体" w:hAnsi="宋体" w:eastAsia="宋体" w:cs="宋体"/>
                <w:color w:val="auto"/>
                <w:szCs w:val="21"/>
                <w:highlight w:val="none"/>
                <w:u w:val="single"/>
              </w:rPr>
              <w:t xml:space="preserve">   </w:t>
            </w:r>
          </w:p>
        </w:tc>
      </w:tr>
      <w:tr w14:paraId="0EEE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trPr>
        <w:tc>
          <w:tcPr>
            <w:tcW w:w="1065" w:type="dxa"/>
            <w:vAlign w:val="center"/>
          </w:tcPr>
          <w:p w14:paraId="3C5B35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7.1</w:t>
            </w:r>
          </w:p>
        </w:tc>
        <w:tc>
          <w:tcPr>
            <w:tcW w:w="1498" w:type="dxa"/>
            <w:vAlign w:val="center"/>
          </w:tcPr>
          <w:p w14:paraId="541769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推荐中标候选人和确定中标人 方式</w:t>
            </w:r>
          </w:p>
        </w:tc>
        <w:tc>
          <w:tcPr>
            <w:tcW w:w="6707" w:type="dxa"/>
            <w:vAlign w:val="center"/>
          </w:tcPr>
          <w:p w14:paraId="5AB2152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排序法，即：由评标委员会推荐不超过3个有排序的中标候选人，公示期满后招标人按照相关规定确定中标人。</w:t>
            </w:r>
          </w:p>
          <w:p w14:paraId="356AAF7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评定分离法，即：由评标委员会推荐不超过3个不排序的中标候选人，招标人按下列第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种方式确定中标人。</w:t>
            </w:r>
          </w:p>
          <w:p w14:paraId="01C60282">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（1）票决法：</w:t>
            </w:r>
            <w:r>
              <w:rPr>
                <w:rFonts w:hint="eastAsia" w:ascii="宋体" w:hAnsi="宋体" w:eastAsia="宋体" w:cs="宋体"/>
                <w:color w:val="auto"/>
                <w:szCs w:val="21"/>
                <w:highlight w:val="none"/>
                <w:lang w:val="en-US" w:eastAsia="zh-CN"/>
              </w:rPr>
              <w:t>投票决定</w:t>
            </w:r>
            <w:r>
              <w:rPr>
                <w:rFonts w:hint="eastAsia" w:ascii="宋体" w:hAnsi="宋体" w:eastAsia="宋体" w:cs="宋体"/>
                <w:bCs/>
                <w:color w:val="auto"/>
                <w:szCs w:val="21"/>
                <w:highlight w:val="none"/>
              </w:rPr>
              <w:t>。</w:t>
            </w:r>
          </w:p>
          <w:p w14:paraId="4D362CE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（2）报价竞争法：</w:t>
            </w:r>
            <w:r>
              <w:rPr>
                <w:rFonts w:hint="eastAsia" w:ascii="宋体" w:hAnsi="宋体" w:eastAsia="宋体" w:cs="宋体"/>
                <w:bCs/>
                <w:color w:val="auto"/>
                <w:szCs w:val="21"/>
                <w:highlight w:val="none"/>
                <w:lang w:val="en-US" w:eastAsia="zh-CN"/>
              </w:rPr>
              <w:t>按</w:t>
            </w:r>
            <w:r>
              <w:rPr>
                <w:rFonts w:hint="eastAsia" w:ascii="宋体" w:hAnsi="宋体" w:eastAsia="宋体" w:cs="宋体"/>
                <w:color w:val="auto"/>
                <w:szCs w:val="21"/>
                <w:highlight w:val="none"/>
              </w:rPr>
              <w:t>最低投标价</w:t>
            </w:r>
            <w:r>
              <w:rPr>
                <w:rFonts w:hint="eastAsia" w:ascii="宋体" w:hAnsi="宋体" w:eastAsia="宋体" w:cs="宋体"/>
                <w:color w:val="auto"/>
                <w:szCs w:val="21"/>
                <w:highlight w:val="none"/>
                <w:lang w:val="en-US" w:eastAsia="zh-CN"/>
              </w:rPr>
              <w:t>确定</w:t>
            </w:r>
            <w:r>
              <w:rPr>
                <w:rFonts w:hint="eastAsia" w:ascii="宋体" w:hAnsi="宋体" w:eastAsia="宋体" w:cs="宋体"/>
                <w:color w:val="auto"/>
                <w:szCs w:val="21"/>
                <w:highlight w:val="none"/>
              </w:rPr>
              <w:t>；</w:t>
            </w:r>
            <w:r>
              <w:rPr>
                <w:rFonts w:hint="eastAsia" w:ascii="宋体" w:hAnsi="宋体" w:eastAsia="宋体" w:cs="宋体"/>
                <w:bCs/>
                <w:color w:val="auto"/>
                <w:szCs w:val="21"/>
                <w:highlight w:val="none"/>
              </w:rPr>
              <w:t xml:space="preserve">   </w:t>
            </w:r>
          </w:p>
          <w:p w14:paraId="68AFC79A">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bCs/>
                <w:color w:val="auto"/>
                <w:szCs w:val="21"/>
                <w:highlight w:val="none"/>
              </w:rPr>
              <w:t>因素法：</w:t>
            </w:r>
            <w:bookmarkStart w:id="145" w:name="_Hlk73543692"/>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施工组织设计和企业资信及履约能力两项得分乘以相应权重之和由高至低排序确定；</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企业资信及履约能力得分由高至低排序确定</w:t>
            </w:r>
            <w:r>
              <w:rPr>
                <w:rFonts w:hint="eastAsia" w:ascii="宋体" w:hAnsi="宋体" w:eastAsia="宋体" w:cs="宋体"/>
                <w:bCs/>
                <w:color w:val="auto"/>
                <w:szCs w:val="21"/>
                <w:highlight w:val="none"/>
              </w:rPr>
              <w:t>。</w:t>
            </w:r>
            <w:bookmarkEnd w:id="145"/>
            <w:r>
              <w:rPr>
                <w:rFonts w:hint="eastAsia" w:ascii="宋体" w:hAnsi="宋体" w:eastAsia="宋体" w:cs="宋体"/>
                <w:bCs/>
                <w:color w:val="auto"/>
                <w:szCs w:val="21"/>
                <w:highlight w:val="none"/>
              </w:rPr>
              <w:t xml:space="preserve">    </w:t>
            </w:r>
          </w:p>
        </w:tc>
      </w:tr>
      <w:tr w14:paraId="0638B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trPr>
        <w:tc>
          <w:tcPr>
            <w:tcW w:w="1065" w:type="dxa"/>
            <w:vAlign w:val="center"/>
          </w:tcPr>
          <w:p w14:paraId="2524A730">
            <w:pPr>
              <w:keepNext w:val="0"/>
              <w:keepLines w:val="0"/>
              <w:suppressLineNumbers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7.3.1</w:t>
            </w:r>
          </w:p>
        </w:tc>
        <w:tc>
          <w:tcPr>
            <w:tcW w:w="1498" w:type="dxa"/>
            <w:vAlign w:val="center"/>
          </w:tcPr>
          <w:p w14:paraId="22E9D826">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履约担保</w:t>
            </w:r>
          </w:p>
        </w:tc>
        <w:tc>
          <w:tcPr>
            <w:tcW w:w="6707" w:type="dxa"/>
            <w:vAlign w:val="center"/>
          </w:tcPr>
          <w:p w14:paraId="6552BBB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经评审的最低投标价法，应当提供履约担保，</w:t>
            </w:r>
          </w:p>
          <w:p w14:paraId="27D95CE1">
            <w:pPr>
              <w:keepNext w:val="0"/>
              <w:keepLines w:val="0"/>
              <w:numPr>
                <w:ilvl w:val="0"/>
                <w:numId w:val="1"/>
              </w:numPr>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保函形式：包括银行业金融机构保函、担保公司担保（</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融资性担保公司保函  </w:t>
            </w: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非融资性担保公司保函）、保险公司保证保险</w:t>
            </w:r>
          </w:p>
          <w:p w14:paraId="53517495">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2.担保金额：中标金额低于最高投标限价10%以内的，不超过中标合同金额的10%。中标金额低于最高投标限价10%以上的，为最高投标限价减去中标合同金额后的差额。</w:t>
            </w:r>
          </w:p>
          <w:p w14:paraId="3A9EEF60">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综合评估法：</w:t>
            </w:r>
          </w:p>
          <w:p w14:paraId="0E4AA6DB">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不要求提供履约担保；</w:t>
            </w:r>
          </w:p>
          <w:p w14:paraId="3028019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要求提供履约担保1.保函形式：银行业金融机构保函、担保公司担保（</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融资性担保公司保函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非融资性担保公司保函）、保险公司保证保险</w:t>
            </w:r>
          </w:p>
          <w:p w14:paraId="5F7BED4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2. 担保金额：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 xml:space="preserve">       </w:t>
            </w:r>
          </w:p>
        </w:tc>
      </w:tr>
      <w:tr w14:paraId="69BC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9270" w:type="dxa"/>
            <w:gridSpan w:val="3"/>
            <w:vAlign w:val="center"/>
          </w:tcPr>
          <w:p w14:paraId="4910BD02">
            <w:pPr>
              <w:keepNext w:val="0"/>
              <w:keepLines w:val="0"/>
              <w:suppressLineNumbers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10.1补充内容</w:t>
            </w:r>
          </w:p>
        </w:tc>
      </w:tr>
      <w:tr w14:paraId="5637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65" w:type="dxa"/>
            <w:vAlign w:val="center"/>
          </w:tcPr>
          <w:p w14:paraId="00D2B8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10.1.1</w:t>
            </w:r>
          </w:p>
        </w:tc>
        <w:tc>
          <w:tcPr>
            <w:tcW w:w="1498" w:type="dxa"/>
            <w:vAlign w:val="center"/>
          </w:tcPr>
          <w:p w14:paraId="36CB0AA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类似工程业绩</w:t>
            </w:r>
          </w:p>
        </w:tc>
        <w:tc>
          <w:tcPr>
            <w:tcW w:w="6707" w:type="dxa"/>
            <w:vAlign w:val="center"/>
          </w:tcPr>
          <w:p w14:paraId="5DDF4D23">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1.资格要求：</w:t>
            </w:r>
          </w:p>
          <w:p w14:paraId="48C6CB0D">
            <w:pPr>
              <w:keepNext w:val="0"/>
              <w:keepLines w:val="0"/>
              <w:suppressLineNumbers w:val="0"/>
              <w:snapToGrid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不要求类似工程业绩</w:t>
            </w:r>
          </w:p>
          <w:p w14:paraId="0F863C42">
            <w:pPr>
              <w:keepNext w:val="0"/>
              <w:keepLines w:val="0"/>
              <w:suppressLineNumbers w:val="0"/>
              <w:snapToGrid w:val="0"/>
              <w:spacing w:before="0" w:beforeAutospacing="0" w:after="0" w:afterAutospacing="0" w:line="360" w:lineRule="auto"/>
              <w:ind w:left="420" w:leftChars="100" w:right="0" w:hanging="210" w:hanging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要求类似工程业绩（由招标人在以下工程业绩中勾选一项）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投标人1项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拟任项目经理1项</w:t>
            </w:r>
          </w:p>
          <w:p w14:paraId="7C07DE34">
            <w:pPr>
              <w:keepNext w:val="0"/>
              <w:keepLines w:val="0"/>
              <w:suppressLineNumbers w:val="0"/>
              <w:tabs>
                <w:tab w:val="left" w:pos="312"/>
              </w:tabs>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2.评审加分要求的类似工程业绩个数</w:t>
            </w:r>
            <w:bookmarkStart w:id="1543" w:name="_GoBack"/>
            <w:bookmarkEnd w:id="1543"/>
          </w:p>
          <w:p w14:paraId="24612B0F">
            <w:pPr>
              <w:keepNext w:val="0"/>
              <w:keepLines w:val="0"/>
              <w:suppressLineNumbers w:val="0"/>
              <w:snapToGrid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2.1投标人：</w:t>
            </w:r>
            <w:r>
              <w:rPr>
                <w:rFonts w:hint="eastAsia" w:ascii="宋体" w:hAnsi="宋体" w:eastAsia="宋体" w:cs="宋体"/>
                <w:color w:val="auto"/>
                <w:szCs w:val="21"/>
                <w:highlight w:val="none"/>
              </w:rPr>
              <w:sym w:font="Wingdings" w:char="00A8"/>
            </w:r>
            <w:r>
              <w:rPr>
                <w:rFonts w:hint="eastAsia" w:ascii="宋体" w:hAnsi="宋体" w:eastAsia="宋体" w:cs="宋体"/>
                <w:color w:val="auto"/>
                <w:szCs w:val="21"/>
                <w:highlight w:val="none"/>
              </w:rPr>
              <w:t xml:space="preserve">0个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 xml:space="preserve">1个  </w:t>
            </w: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 xml:space="preserve">2个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3个</w:t>
            </w:r>
          </w:p>
          <w:p w14:paraId="178ED9E3">
            <w:pPr>
              <w:keepNext w:val="0"/>
              <w:keepLines w:val="0"/>
              <w:suppressLineNumbers w:val="0"/>
              <w:snapToGrid w:val="0"/>
              <w:spacing w:before="0" w:beforeAutospacing="0" w:after="0" w:afterAutospacing="0" w:line="360" w:lineRule="auto"/>
              <w:ind w:left="0" w:right="0"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2.2拟任项目经理：</w:t>
            </w: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 xml:space="preserve">0个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1个</w:t>
            </w:r>
          </w:p>
          <w:p w14:paraId="2485A684">
            <w:pPr>
              <w:keepNext w:val="0"/>
              <w:keepLines w:val="0"/>
              <w:suppressLineNumbers w:val="0"/>
              <w:tabs>
                <w:tab w:val="left" w:pos="312"/>
              </w:tabs>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3.类似工程业绩应当符合以下规定：</w:t>
            </w:r>
          </w:p>
          <w:p w14:paraId="2178B594">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（1）资格要求的类似工程业绩：</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E830B9B">
            <w:pPr>
              <w:keepNext w:val="0"/>
              <w:keepLines w:val="0"/>
              <w:suppressLineNumbers w:val="0"/>
              <w:snapToGrid w:val="0"/>
              <w:spacing w:before="0" w:beforeAutospacing="0" w:after="0" w:afterAutospacing="0" w:line="360" w:lineRule="auto"/>
              <w:ind w:left="-103" w:leftChars="-49" w:right="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（2）评审加分要求的类似工程业绩：</w:t>
            </w:r>
            <w:r>
              <w:rPr>
                <w:rFonts w:hint="eastAsia" w:ascii="宋体" w:hAnsi="宋体" w:eastAsia="宋体" w:cs="宋体"/>
                <w:color w:val="auto"/>
                <w:szCs w:val="21"/>
                <w:highlight w:val="none"/>
                <w:u w:val="single"/>
              </w:rPr>
              <w:t xml:space="preserve">投标人具有单项合同金额不低于 </w:t>
            </w:r>
            <w:r>
              <w:rPr>
                <w:rFonts w:hint="eastAsia" w:ascii="宋体" w:hAnsi="宋体" w:cs="宋体"/>
                <w:color w:val="auto"/>
                <w:szCs w:val="21"/>
                <w:highlight w:val="none"/>
                <w:u w:val="single"/>
                <w:lang w:val="en-US" w:eastAsia="zh-CN"/>
              </w:rPr>
              <w:t>240.81</w:t>
            </w:r>
            <w:r>
              <w:rPr>
                <w:rFonts w:hint="eastAsia" w:ascii="宋体" w:hAnsi="宋体" w:eastAsia="宋体" w:cs="宋体"/>
                <w:color w:val="auto"/>
                <w:szCs w:val="21"/>
                <w:highlight w:val="none"/>
                <w:u w:val="single"/>
              </w:rPr>
              <w:t>万元的</w:t>
            </w:r>
            <w:r>
              <w:rPr>
                <w:rFonts w:hint="eastAsia" w:ascii="宋体" w:hAnsi="宋体" w:cs="宋体"/>
                <w:color w:val="auto"/>
                <w:szCs w:val="21"/>
                <w:highlight w:val="none"/>
                <w:u w:val="single"/>
                <w:lang w:val="en-US" w:eastAsia="zh-CN"/>
              </w:rPr>
              <w:t>建筑</w:t>
            </w:r>
            <w:r>
              <w:rPr>
                <w:rFonts w:hint="eastAsia" w:ascii="宋体" w:hAnsi="宋体" w:cs="宋体"/>
                <w:color w:val="auto"/>
                <w:szCs w:val="21"/>
                <w:highlight w:val="none"/>
                <w:u w:val="single"/>
                <w:lang w:eastAsia="zh-CN"/>
              </w:rPr>
              <w:t>工程施工</w:t>
            </w:r>
            <w:r>
              <w:rPr>
                <w:rFonts w:hint="eastAsia" w:ascii="宋体" w:hAnsi="宋体" w:eastAsia="宋体" w:cs="宋体"/>
                <w:color w:val="auto"/>
                <w:szCs w:val="21"/>
                <w:highlight w:val="none"/>
                <w:u w:val="single"/>
              </w:rPr>
              <w:t xml:space="preserve">业绩。 </w:t>
            </w:r>
          </w:p>
          <w:p w14:paraId="4B3B4D3E">
            <w:pPr>
              <w:keepNext w:val="0"/>
              <w:keepLines w:val="0"/>
              <w:suppressLineNumbers w:val="0"/>
              <w:snapToGrid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招标人根据招标项目的特点和实际需要提出要求，并符合以下规定：①投标人资格要求的类似工程业绩原则上不超过招标项目相关指标的50%［四舍五入取整数，下同］②评审加分的类似工程业绩，原则上为招标项目相关指标的70%。其中：房屋建筑工程，采用</w:t>
            </w:r>
            <w:r>
              <w:rPr>
                <w:rFonts w:hint="eastAsia" w:ascii="宋体" w:hAnsi="宋体" w:eastAsia="宋体" w:cs="宋体"/>
                <w:color w:val="auto"/>
                <w:szCs w:val="32"/>
                <w:highlight w:val="none"/>
              </w:rPr>
              <w:t>建筑类型、结构、层数、高度、建筑面积、跨度、单项合同额等</w:t>
            </w:r>
            <w:r>
              <w:rPr>
                <w:rFonts w:hint="eastAsia" w:ascii="宋体" w:hAnsi="宋体" w:eastAsia="宋体" w:cs="宋体"/>
                <w:color w:val="auto"/>
                <w:highlight w:val="none"/>
              </w:rPr>
              <w:t>指标</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特征</w:t>
            </w:r>
            <w:r>
              <w:rPr>
                <w:rFonts w:hint="eastAsia" w:ascii="宋体" w:hAnsi="宋体" w:eastAsia="宋体" w:cs="宋体"/>
                <w:color w:val="auto"/>
                <w:highlight w:val="none"/>
              </w:rPr>
              <w:t>中</w:t>
            </w:r>
            <w:r>
              <w:rPr>
                <w:rFonts w:hint="eastAsia" w:ascii="宋体" w:hAnsi="宋体" w:eastAsia="宋体" w:cs="宋体"/>
                <w:color w:val="auto"/>
                <w:szCs w:val="21"/>
                <w:highlight w:val="none"/>
              </w:rPr>
              <w:t>的 1-2项。市政基础设施工程，采用道路长度或者面积、桥梁长度或者面积或者跨度或者结构、管道直径或者压力、隧道和地下交通工程断面面积、供水能力、供气能力、供热能力、污水处理能力、垃圾处理能力、园林绿化规模以及单项合同额等</w:t>
            </w:r>
            <w:r>
              <w:rPr>
                <w:rFonts w:hint="eastAsia" w:ascii="宋体" w:hAnsi="宋体" w:eastAsia="宋体" w:cs="宋体"/>
                <w:color w:val="auto"/>
                <w:highlight w:val="none"/>
              </w:rPr>
              <w:t>指标</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特征</w:t>
            </w:r>
            <w:r>
              <w:rPr>
                <w:rFonts w:hint="eastAsia" w:ascii="宋体" w:hAnsi="宋体" w:eastAsia="宋体" w:cs="宋体"/>
                <w:color w:val="auto"/>
                <w:highlight w:val="none"/>
              </w:rPr>
              <w:t>中</w:t>
            </w:r>
            <w:r>
              <w:rPr>
                <w:rFonts w:hint="eastAsia" w:ascii="宋体" w:hAnsi="宋体" w:eastAsia="宋体" w:cs="宋体"/>
                <w:color w:val="auto"/>
                <w:szCs w:val="21"/>
                <w:highlight w:val="none"/>
              </w:rPr>
              <w:t>的1-2 项）。</w:t>
            </w:r>
          </w:p>
          <w:p w14:paraId="642AD05A">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highlight w:val="none"/>
              </w:rPr>
            </w:pPr>
            <w:r>
              <w:rPr>
                <w:rFonts w:hint="eastAsia" w:ascii="宋体" w:hAnsi="宋体" w:eastAsia="宋体" w:cs="宋体"/>
                <w:color w:val="auto"/>
                <w:szCs w:val="21"/>
                <w:highlight w:val="none"/>
              </w:rPr>
              <w:t>4.类似工程业绩的考核要求：</w:t>
            </w:r>
          </w:p>
          <w:p w14:paraId="6B84ABC3">
            <w:pPr>
              <w:keepNext w:val="0"/>
              <w:keepLines w:val="0"/>
              <w:suppressLineNumbers w:val="0"/>
              <w:snapToGrid/>
              <w:spacing w:before="0" w:beforeAutospacing="0" w:after="0" w:afterAutospacing="0" w:line="360" w:lineRule="auto"/>
              <w:ind w:left="0" w:right="0" w:firstLine="0" w:firstLineChars="0"/>
              <w:rPr>
                <w:rFonts w:hint="eastAsia" w:ascii="宋体" w:hAnsi="宋体" w:eastAsia="宋体" w:cs="宋体"/>
                <w:color w:val="auto"/>
                <w:sz w:val="21"/>
                <w:highlight w:val="none"/>
              </w:rPr>
            </w:pPr>
            <w:r>
              <w:rPr>
                <w:rFonts w:hint="eastAsia" w:ascii="宋体" w:hAnsi="宋体" w:eastAsia="宋体" w:cs="宋体"/>
                <w:bCs/>
                <w:color w:val="auto"/>
                <w:highlight w:val="none"/>
              </w:rPr>
              <w:t>（1）考核依</w:t>
            </w:r>
            <w:r>
              <w:rPr>
                <w:rFonts w:hint="eastAsia" w:ascii="宋体" w:hAnsi="宋体" w:eastAsia="宋体" w:cs="宋体"/>
                <w:bCs w:val="0"/>
                <w:color w:val="auto"/>
                <w:highlight w:val="none"/>
              </w:rPr>
              <w:t>据：</w:t>
            </w:r>
            <w:r>
              <w:rPr>
                <w:rFonts w:hint="eastAsia" w:ascii="宋体" w:hAnsi="宋体" w:eastAsia="宋体" w:cs="宋体"/>
                <w:color w:val="auto"/>
                <w:sz w:val="21"/>
                <w:highlight w:val="none"/>
              </w:rPr>
              <w:t>以投标文件中提供的中标通知书（招标工程提交）、 合同和竣工验收资料以及本项目答疑文件明确可以作为考核依据的资料的复印件为准，并提供“湖南省智慧住建云—湖南省建筑市场监管公共服务平台”或者“全国建筑市场监管公共服务平台”上体现其作为</w:t>
            </w:r>
            <w:r>
              <w:rPr>
                <w:rFonts w:hint="eastAsia" w:ascii="宋体" w:hAnsi="宋体" w:eastAsia="宋体" w:cs="宋体"/>
                <w:color w:val="auto"/>
                <w:sz w:val="21"/>
                <w:highlight w:val="none"/>
                <w:lang w:val="en-US" w:eastAsia="zh-CN"/>
              </w:rPr>
              <w:t>相应</w:t>
            </w:r>
            <w:r>
              <w:rPr>
                <w:rFonts w:hint="eastAsia" w:ascii="宋体" w:hAnsi="宋体" w:eastAsia="宋体" w:cs="宋体"/>
                <w:color w:val="auto"/>
                <w:sz w:val="21"/>
                <w:highlight w:val="none"/>
              </w:rPr>
              <w:t>承包人</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项目经理</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rPr>
              <w:t>的项目网页截图。</w:t>
            </w:r>
          </w:p>
          <w:p w14:paraId="3D2D6593">
            <w:pPr>
              <w:keepNext w:val="0"/>
              <w:keepLines w:val="0"/>
              <w:suppressLineNumbers w:val="0"/>
              <w:spacing w:before="0" w:beforeAutospacing="0" w:after="0" w:afterAutospacing="0" w:line="360" w:lineRule="auto"/>
              <w:ind w:left="0" w:right="0"/>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rPr>
              <w:t>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r>
              <w:rPr>
                <w:rFonts w:hint="eastAsia" w:ascii="宋体" w:hAnsi="宋体" w:eastAsia="宋体" w:cs="宋体"/>
                <w:color w:val="auto"/>
                <w:sz w:val="21"/>
                <w:highlight w:val="none"/>
                <w:lang w:eastAsia="zh-CN"/>
              </w:rPr>
              <w:t>。</w:t>
            </w:r>
          </w:p>
          <w:p w14:paraId="4ECC8DC9">
            <w:pPr>
              <w:keepNext w:val="0"/>
              <w:keepLines w:val="0"/>
              <w:suppressLineNumbers w:val="0"/>
              <w:snapToGrid/>
              <w:spacing w:before="0" w:beforeAutospacing="0" w:after="0" w:afterAutospacing="0" w:line="360" w:lineRule="auto"/>
              <w:ind w:left="0" w:right="0"/>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投标人提供的类似工程业绩同时包含</w:t>
            </w:r>
            <w:r>
              <w:rPr>
                <w:rFonts w:hint="eastAsia" w:ascii="宋体" w:hAnsi="宋体" w:eastAsia="宋体" w:cs="宋体"/>
                <w:color w:val="auto"/>
                <w:sz w:val="21"/>
                <w:highlight w:val="none"/>
                <w:lang w:val="en-US" w:eastAsia="zh-CN"/>
              </w:rPr>
              <w:t>多种类型</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专业）</w:t>
            </w:r>
            <w:r>
              <w:rPr>
                <w:rFonts w:hint="eastAsia" w:ascii="宋体" w:hAnsi="宋体" w:eastAsia="宋体" w:cs="宋体"/>
                <w:color w:val="auto"/>
                <w:sz w:val="21"/>
                <w:highlight w:val="none"/>
              </w:rPr>
              <w:t>的，其工程</w:t>
            </w:r>
            <w:r>
              <w:rPr>
                <w:rFonts w:hint="eastAsia" w:ascii="宋体" w:hAnsi="宋体" w:eastAsia="宋体" w:cs="宋体"/>
                <w:color w:val="auto"/>
                <w:sz w:val="21"/>
                <w:highlight w:val="none"/>
                <w:lang w:val="en-US" w:eastAsia="zh-CN"/>
              </w:rPr>
              <w:t>类型（专业）</w:t>
            </w:r>
            <w:r>
              <w:rPr>
                <w:rFonts w:hint="eastAsia" w:ascii="宋体" w:hAnsi="宋体" w:eastAsia="宋体" w:cs="宋体"/>
                <w:color w:val="auto"/>
                <w:sz w:val="21"/>
                <w:highlight w:val="none"/>
              </w:rPr>
              <w:t>所对应的工程量应当根据中标通知书、合同、竣工验收资料</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lang w:val="en-US" w:eastAsia="zh-CN"/>
              </w:rPr>
              <w:t>以及</w:t>
            </w:r>
            <w:r>
              <w:rPr>
                <w:rFonts w:hint="eastAsia" w:ascii="宋体" w:hAnsi="宋体" w:eastAsia="宋体" w:cs="宋体"/>
                <w:color w:val="auto"/>
                <w:sz w:val="21"/>
                <w:highlight w:val="none"/>
              </w:rPr>
              <w:t>本项目答疑文件明确可以作为考核依据的资料进行认定；以上资料均不能明确区分的，由评标委员会进行认定。</w:t>
            </w:r>
          </w:p>
          <w:p w14:paraId="762B2FC6">
            <w:pPr>
              <w:keepNext w:val="0"/>
              <w:keepLines w:val="0"/>
              <w:suppressLineNumbers w:val="0"/>
              <w:spacing w:before="0" w:beforeAutospacing="0" w:after="0" w:afterAutospacing="0" w:line="360" w:lineRule="auto"/>
              <w:ind w:left="0" w:right="0"/>
              <w:rPr>
                <w:rFonts w:hint="eastAsia" w:ascii="宋体" w:hAnsi="宋体" w:eastAsia="宋体" w:cs="宋体"/>
                <w:color w:val="auto"/>
                <w:highlight w:val="none"/>
              </w:rPr>
            </w:pPr>
            <w:r>
              <w:rPr>
                <w:rFonts w:hint="eastAsia" w:ascii="宋体" w:hAnsi="宋体" w:eastAsia="宋体" w:cs="宋体"/>
                <w:color w:val="auto"/>
                <w:highlight w:val="none"/>
              </w:rPr>
              <w:t>（2）考核期限：</w:t>
            </w:r>
            <w:r>
              <w:rPr>
                <w:rFonts w:hint="eastAsia" w:ascii="宋体" w:hAnsi="宋体" w:eastAsia="宋体" w:cs="宋体"/>
                <w:color w:val="auto"/>
                <w:highlight w:val="none"/>
                <w:lang w:val="en-US" w:eastAsia="zh-CN"/>
              </w:rPr>
              <w:t>投标截止时间之日前3年</w:t>
            </w:r>
            <w:r>
              <w:rPr>
                <w:rFonts w:hint="eastAsia" w:ascii="宋体" w:hAnsi="宋体" w:eastAsia="宋体" w:cs="宋体"/>
                <w:color w:val="auto"/>
                <w:highlight w:val="none"/>
              </w:rPr>
              <w:t>，按工程竣工验收文件中建设单位签字之日起计算。类似工程业绩考核依据中竣工验收备案表未体现建设单位签字之日的以竣工验收备案表“竣工验收日期”栏中注明的时间为准。</w:t>
            </w:r>
          </w:p>
          <w:p w14:paraId="4A91B1C4">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highlight w:val="none"/>
              </w:rPr>
              <w:t>投标人提供的类似工程业绩不符合上述规定时，涉及投标人资格条件的，应当认定该投标人资格条件不符合招标文件要求，否决其投标；涉及评审加分的，</w:t>
            </w:r>
            <w:r>
              <w:rPr>
                <w:rFonts w:hint="eastAsia" w:ascii="宋体" w:hAnsi="宋体" w:eastAsia="宋体" w:cs="宋体"/>
                <w:color w:val="auto"/>
                <w:szCs w:val="24"/>
                <w:highlight w:val="none"/>
              </w:rPr>
              <w:t>投标人类似工程业绩不予计分。</w:t>
            </w:r>
          </w:p>
        </w:tc>
      </w:tr>
      <w:tr w14:paraId="5C7D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4" w:hRule="atLeast"/>
        </w:trPr>
        <w:tc>
          <w:tcPr>
            <w:tcW w:w="1065" w:type="dxa"/>
            <w:vAlign w:val="center"/>
          </w:tcPr>
          <w:p w14:paraId="1C6405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10.1.2</w:t>
            </w:r>
          </w:p>
        </w:tc>
        <w:tc>
          <w:tcPr>
            <w:tcW w:w="1498" w:type="dxa"/>
            <w:vAlign w:val="center"/>
          </w:tcPr>
          <w:p w14:paraId="292068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企业资信及履约能力评审的奖项、标准化工地</w:t>
            </w:r>
          </w:p>
        </w:tc>
        <w:tc>
          <w:tcPr>
            <w:tcW w:w="6707" w:type="dxa"/>
            <w:vAlign w:val="center"/>
          </w:tcPr>
          <w:p w14:paraId="3E1ADF26">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1.奖项个数： </w:t>
            </w:r>
          </w:p>
          <w:p w14:paraId="6D17263E">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①国家级（鲁班奖、国家优质工程奖）：</w:t>
            </w:r>
          </w:p>
          <w:p w14:paraId="5E15DCAD">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 xml:space="preserve">  ☑0个  □1个  □2个  □3个</w:t>
            </w:r>
          </w:p>
          <w:p w14:paraId="0613D4F8">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sym w:font="Wingdings" w:char="00FE"/>
            </w:r>
            <w:r>
              <w:rPr>
                <w:rFonts w:hint="eastAsia" w:ascii="宋体" w:hAnsi="宋体" w:eastAsia="宋体" w:cs="宋体"/>
                <w:color w:val="auto"/>
                <w:szCs w:val="21"/>
                <w:highlight w:val="none"/>
              </w:rPr>
              <w:t xml:space="preserve"> 0 个  </w:t>
            </w:r>
            <w:r>
              <w:rPr>
                <w:rFonts w:hint="eastAsia" w:ascii="宋体" w:hAnsi="宋体" w:eastAsia="宋体" w:cs="宋体"/>
                <w:color w:val="auto"/>
                <w:szCs w:val="21"/>
                <w:highlight w:val="none"/>
                <w:lang w:val="en-US" w:eastAsia="zh-CN"/>
              </w:rPr>
              <w:t>□1个</w:t>
            </w:r>
          </w:p>
          <w:p w14:paraId="2C850295">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②省级（省级综合工程质量奖、省</w:t>
            </w:r>
            <w:r>
              <w:rPr>
                <w:rFonts w:hint="eastAsia" w:ascii="宋体" w:hAnsi="宋体" w:eastAsia="宋体" w:cs="宋体"/>
                <w:color w:val="auto"/>
                <w:szCs w:val="21"/>
                <w:highlight w:val="none"/>
                <w:lang w:val="en-US" w:eastAsia="zh-CN"/>
              </w:rPr>
              <w:t>级</w:t>
            </w:r>
            <w:r>
              <w:rPr>
                <w:rFonts w:hint="eastAsia" w:ascii="宋体" w:hAnsi="宋体" w:eastAsia="宋体" w:cs="宋体"/>
                <w:color w:val="auto"/>
                <w:szCs w:val="21"/>
                <w:highlight w:val="none"/>
              </w:rPr>
              <w:t>优质工程奖）：</w:t>
            </w:r>
          </w:p>
          <w:p w14:paraId="67151BA6">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 xml:space="preserve">  ☑0个  □1个  □2个  □3个</w:t>
            </w:r>
          </w:p>
          <w:p w14:paraId="33A0BF0B">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sym w:font="Wingdings" w:char="00FE"/>
            </w:r>
            <w:r>
              <w:rPr>
                <w:rFonts w:hint="eastAsia" w:ascii="宋体" w:hAnsi="宋体" w:eastAsia="宋体" w:cs="宋体"/>
                <w:color w:val="auto"/>
                <w:szCs w:val="21"/>
                <w:highlight w:val="none"/>
              </w:rPr>
              <w:t xml:space="preserve"> 0 个  </w:t>
            </w:r>
            <w:r>
              <w:rPr>
                <w:rFonts w:hint="eastAsia" w:ascii="宋体" w:hAnsi="宋体" w:eastAsia="宋体" w:cs="宋体"/>
                <w:color w:val="auto"/>
                <w:szCs w:val="21"/>
                <w:highlight w:val="none"/>
                <w:lang w:val="en-US" w:eastAsia="zh-CN"/>
              </w:rPr>
              <w:t>□1个</w:t>
            </w:r>
          </w:p>
          <w:p w14:paraId="46F22AB4">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2.标准化工地个数：</w:t>
            </w:r>
          </w:p>
          <w:p w14:paraId="26431649">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①国家级（</w:t>
            </w:r>
            <w:r>
              <w:rPr>
                <w:rFonts w:hint="eastAsia" w:ascii="宋体" w:hAnsi="宋体" w:eastAsia="宋体" w:cs="宋体"/>
                <w:color w:val="auto"/>
                <w:kern w:val="2"/>
                <w:sz w:val="21"/>
                <w:szCs w:val="21"/>
                <w:highlight w:val="none"/>
              </w:rPr>
              <w:t>国家建设工程项目施工工地安全生产标准化学习交流项目</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☑0个  □1个  □2个</w:t>
            </w:r>
            <w:r>
              <w:rPr>
                <w:rFonts w:hint="eastAsia" w:ascii="宋体" w:hAnsi="宋体" w:eastAsia="宋体" w:cs="宋体"/>
                <w:color w:val="auto"/>
                <w:szCs w:val="21"/>
                <w:highlight w:val="none"/>
              </w:rPr>
              <w:t xml:space="preserve"> </w:t>
            </w:r>
          </w:p>
          <w:p w14:paraId="6A14E894">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w:t>
            </w:r>
            <w:r>
              <w:rPr>
                <w:rFonts w:hint="eastAsia" w:ascii="宋体" w:hAnsi="宋体" w:eastAsia="宋体" w:cs="宋体"/>
                <w:color w:val="auto"/>
                <w:kern w:val="2"/>
                <w:sz w:val="21"/>
                <w:szCs w:val="21"/>
                <w:highlight w:val="none"/>
              </w:rPr>
              <w:t>省级建筑施工安全生产标准化年度项目考评优良工地</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 xml:space="preserve"> </w:t>
            </w:r>
            <w:r>
              <w:rPr>
                <w:rFonts w:hint="eastAsia" w:ascii="宋体" w:hAnsi="宋体" w:eastAsia="宋体" w:cs="宋体"/>
                <w:color w:val="auto"/>
                <w:szCs w:val="21"/>
                <w:highlight w:val="none"/>
                <w:u w:val="none"/>
                <w:lang w:val="en-US" w:eastAsia="zh-CN"/>
              </w:rPr>
              <w:t>0</w:t>
            </w:r>
            <w:r>
              <w:rPr>
                <w:rFonts w:hint="eastAsia" w:ascii="宋体" w:hAnsi="宋体" w:eastAsia="宋体" w:cs="宋体"/>
                <w:color w:val="auto"/>
                <w:szCs w:val="21"/>
                <w:highlight w:val="none"/>
              </w:rPr>
              <w:t>个（0-20个）</w:t>
            </w:r>
          </w:p>
          <w:p w14:paraId="5E0B6321">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园林绿化工程奖项、标准化工地加分规定</w:t>
            </w:r>
          </w:p>
          <w:p w14:paraId="04B640E2">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（1）奖项</w:t>
            </w:r>
          </w:p>
          <w:p w14:paraId="23279E56">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①国家级，中国人居环境范例奖（园林绿化获奖项目）：</w:t>
            </w:r>
          </w:p>
          <w:p w14:paraId="14BEA16B">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 xml:space="preserve"> ☑0个  □1个  □2个  □3个</w:t>
            </w:r>
          </w:p>
          <w:p w14:paraId="0B541F11">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sym w:font="Wingdings" w:char="00FE"/>
            </w:r>
            <w:r>
              <w:rPr>
                <w:rFonts w:hint="eastAsia" w:ascii="宋体" w:hAnsi="宋体" w:eastAsia="宋体" w:cs="宋体"/>
                <w:color w:val="auto"/>
                <w:szCs w:val="21"/>
                <w:highlight w:val="none"/>
              </w:rPr>
              <w:t xml:space="preserve"> 0 个  </w:t>
            </w:r>
            <w:r>
              <w:rPr>
                <w:rFonts w:hint="eastAsia" w:ascii="宋体" w:hAnsi="宋体" w:eastAsia="宋体" w:cs="宋体"/>
                <w:color w:val="auto"/>
                <w:szCs w:val="21"/>
                <w:highlight w:val="none"/>
                <w:lang w:val="en-US" w:eastAsia="zh-CN"/>
              </w:rPr>
              <w:t>□1个</w:t>
            </w:r>
          </w:p>
          <w:p w14:paraId="24215436">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②省级园林绿化优质工程奖：</w:t>
            </w:r>
          </w:p>
          <w:p w14:paraId="02DFBA2E">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lang w:val="en-US" w:eastAsia="zh-CN"/>
              </w:rPr>
              <w:t xml:space="preserve"> ☑0个  □1个  □2个  □3个</w:t>
            </w:r>
          </w:p>
          <w:p w14:paraId="51AB7BF7">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sym w:font="Wingdings" w:char="00FE"/>
            </w:r>
            <w:r>
              <w:rPr>
                <w:rFonts w:hint="eastAsia" w:ascii="宋体" w:hAnsi="宋体" w:eastAsia="宋体" w:cs="宋体"/>
                <w:color w:val="auto"/>
                <w:szCs w:val="21"/>
                <w:highlight w:val="none"/>
              </w:rPr>
              <w:t xml:space="preserve"> 0 个  </w:t>
            </w:r>
            <w:r>
              <w:rPr>
                <w:rFonts w:hint="eastAsia" w:ascii="宋体" w:hAnsi="宋体" w:eastAsia="宋体" w:cs="宋体"/>
                <w:color w:val="auto"/>
                <w:szCs w:val="21"/>
                <w:highlight w:val="none"/>
                <w:lang w:val="en-US" w:eastAsia="zh-CN"/>
              </w:rPr>
              <w:t>□1个</w:t>
            </w:r>
          </w:p>
          <w:p w14:paraId="1BC685A1">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（2）标准化工地均不加分。</w:t>
            </w:r>
          </w:p>
          <w:p w14:paraId="0005180F">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绿色科技创新指标：</w:t>
            </w:r>
            <w:r>
              <w:rPr>
                <w:rFonts w:hint="eastAsia" w:ascii="宋体" w:hAnsi="宋体" w:eastAsia="宋体" w:cs="宋体"/>
                <w:color w:val="auto"/>
                <w:szCs w:val="21"/>
                <w:highlight w:val="none"/>
                <w:lang w:val="en-US" w:eastAsia="zh-CN"/>
              </w:rPr>
              <w:sym w:font="Wingdings" w:char="00FE"/>
            </w:r>
            <w:r>
              <w:rPr>
                <w:rFonts w:hint="eastAsia" w:ascii="宋体" w:hAnsi="宋体" w:eastAsia="宋体" w:cs="宋体"/>
                <w:color w:val="auto"/>
                <w:szCs w:val="21"/>
                <w:highlight w:val="none"/>
              </w:rPr>
              <w:t>0</w:t>
            </w:r>
            <w:r>
              <w:rPr>
                <w:rFonts w:hint="eastAsia" w:ascii="宋体" w:hAnsi="宋体" w:eastAsia="宋体" w:cs="宋体"/>
                <w:color w:val="auto"/>
                <w:szCs w:val="21"/>
                <w:highlight w:val="none"/>
                <w:lang w:eastAsia="zh-CN"/>
              </w:rPr>
              <w:t>分</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分</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分</w:t>
            </w:r>
            <w:r>
              <w:rPr>
                <w:rFonts w:hint="eastAsia" w:ascii="宋体" w:hAnsi="宋体" w:eastAsia="宋体" w:cs="宋体"/>
                <w:color w:val="auto"/>
                <w:szCs w:val="21"/>
                <w:highlight w:val="none"/>
                <w:lang w:val="en-US" w:eastAsia="zh-CN"/>
              </w:rPr>
              <w:t xml:space="preserve">  □3分</w:t>
            </w:r>
            <w:r>
              <w:rPr>
                <w:rFonts w:hint="eastAsia" w:ascii="宋体" w:hAnsi="宋体" w:eastAsia="宋体" w:cs="宋体"/>
                <w:color w:val="auto"/>
                <w:szCs w:val="21"/>
                <w:highlight w:val="none"/>
              </w:rPr>
              <w:t xml:space="preserve">  </w:t>
            </w:r>
          </w:p>
          <w:p w14:paraId="7FE567FC">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三星绿色建筑</w:t>
            </w:r>
            <w:r>
              <w:rPr>
                <w:rFonts w:hint="eastAsia" w:ascii="宋体" w:hAnsi="宋体" w:eastAsia="宋体" w:cs="宋体"/>
                <w:color w:val="auto"/>
                <w:highlight w:val="none"/>
                <w:lang w:eastAsia="zh-CN"/>
              </w:rPr>
              <w:t>、</w:t>
            </w:r>
            <w:r>
              <w:rPr>
                <w:rFonts w:hint="eastAsia" w:ascii="宋体" w:hAnsi="宋体" w:eastAsia="宋体" w:cs="宋体"/>
                <w:color w:val="auto"/>
                <w:sz w:val="21"/>
                <w:szCs w:val="24"/>
                <w:highlight w:val="none"/>
              </w:rPr>
              <w:t>二星绿色建筑</w:t>
            </w:r>
          </w:p>
          <w:p w14:paraId="79F842DA">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highlight w:val="none"/>
              </w:rPr>
            </w:pPr>
            <w:r>
              <w:rPr>
                <w:rFonts w:hint="eastAsia" w:ascii="宋体" w:hAnsi="宋体" w:eastAsia="宋体" w:cs="宋体"/>
                <w:color w:val="auto"/>
                <w:sz w:val="21"/>
                <w:szCs w:val="24"/>
                <w:highlight w:val="none"/>
                <w:lang w:eastAsia="zh-CN"/>
              </w:rPr>
              <w:t>□</w:t>
            </w:r>
            <w:r>
              <w:rPr>
                <w:rFonts w:hint="eastAsia" w:ascii="宋体" w:hAnsi="宋体" w:eastAsia="宋体" w:cs="宋体"/>
                <w:color w:val="auto"/>
                <w:szCs w:val="21"/>
                <w:highlight w:val="none"/>
              </w:rPr>
              <w:t>AA</w:t>
            </w:r>
            <w:r>
              <w:rPr>
                <w:rFonts w:hint="eastAsia" w:ascii="宋体" w:hAnsi="宋体" w:eastAsia="宋体" w:cs="宋体"/>
                <w:color w:val="auto"/>
                <w:szCs w:val="21"/>
                <w:highlight w:val="none"/>
                <w:lang w:val="en-US" w:eastAsia="zh-CN"/>
              </w:rPr>
              <w:t>A</w:t>
            </w:r>
            <w:r>
              <w:rPr>
                <w:rFonts w:hint="eastAsia" w:ascii="宋体" w:hAnsi="宋体" w:eastAsia="宋体" w:cs="宋体"/>
                <w:color w:val="auto"/>
                <w:szCs w:val="21"/>
                <w:highlight w:val="none"/>
              </w:rPr>
              <w:t>级装配式建筑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A</w:t>
            </w:r>
            <w:r>
              <w:rPr>
                <w:rFonts w:hint="eastAsia" w:ascii="宋体" w:hAnsi="宋体" w:eastAsia="宋体" w:cs="宋体"/>
                <w:color w:val="auto"/>
                <w:szCs w:val="21"/>
                <w:highlight w:val="none"/>
              </w:rPr>
              <w:t>级装配式建筑</w:t>
            </w:r>
          </w:p>
          <w:p w14:paraId="0484C862">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省</w:t>
            </w:r>
            <w:r>
              <w:rPr>
                <w:rFonts w:hint="eastAsia" w:ascii="宋体" w:hAnsi="宋体" w:eastAsia="宋体" w:cs="宋体"/>
                <w:color w:val="auto"/>
                <w:highlight w:val="none"/>
                <w:lang w:val="en-US" w:eastAsia="zh-CN"/>
              </w:rPr>
              <w:t>级</w:t>
            </w:r>
            <w:r>
              <w:rPr>
                <w:rFonts w:hint="eastAsia" w:ascii="宋体" w:hAnsi="宋体" w:eastAsia="宋体" w:cs="宋体"/>
                <w:color w:val="auto"/>
                <w:highlight w:val="none"/>
              </w:rPr>
              <w:t>绿色施工工程</w:t>
            </w:r>
          </w:p>
          <w:p w14:paraId="6522027D">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其他</w:t>
            </w:r>
          </w:p>
          <w:p w14:paraId="0EF50451">
            <w:pPr>
              <w:keepNext w:val="0"/>
              <w:keepLines w:val="0"/>
              <w:suppressLineNumbers w:val="0"/>
              <w:spacing w:before="0" w:beforeAutospacing="0" w:after="0" w:afterAutospacing="0" w:line="360" w:lineRule="auto"/>
              <w:ind w:left="0" w:right="0"/>
              <w:rPr>
                <w:rFonts w:hint="eastAsia" w:ascii="宋体" w:hAnsi="宋体" w:eastAsia="宋体" w:cs="宋体"/>
                <w:strike/>
                <w:color w:val="auto"/>
                <w:szCs w:val="21"/>
                <w:highlight w:val="none"/>
              </w:rPr>
            </w:pP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Cs w:val="21"/>
                <w:highlight w:val="none"/>
                <w:u w:val="none"/>
              </w:rPr>
              <w:t xml:space="preserve">                    </w:t>
            </w:r>
          </w:p>
        </w:tc>
      </w:tr>
      <w:tr w14:paraId="4A4B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065" w:type="dxa"/>
            <w:vAlign w:val="center"/>
          </w:tcPr>
          <w:p w14:paraId="0A1F69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10.2.1</w:t>
            </w:r>
          </w:p>
        </w:tc>
        <w:tc>
          <w:tcPr>
            <w:tcW w:w="1498" w:type="dxa"/>
            <w:vAlign w:val="center"/>
          </w:tcPr>
          <w:p w14:paraId="2A997A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最高投标限价</w:t>
            </w:r>
          </w:p>
        </w:tc>
        <w:tc>
          <w:tcPr>
            <w:tcW w:w="6707" w:type="dxa"/>
            <w:vAlign w:val="center"/>
          </w:tcPr>
          <w:p w14:paraId="05BE620C">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 w:val="18"/>
                <w:szCs w:val="18"/>
                <w:highlight w:val="none"/>
                <w:u w:val="single"/>
                <w:lang w:eastAsia="zh-CN"/>
              </w:rPr>
            </w:pPr>
            <w:r>
              <w:rPr>
                <w:rFonts w:hint="eastAsia" w:ascii="宋体" w:hAnsi="宋体" w:eastAsia="宋体" w:cs="宋体"/>
                <w:color w:val="auto"/>
                <w:szCs w:val="21"/>
                <w:highlight w:val="none"/>
              </w:rPr>
              <w:t>最高投标限价总价：</w:t>
            </w:r>
            <w:r>
              <w:rPr>
                <w:rFonts w:hint="eastAsia" w:ascii="宋体" w:hAnsi="宋体" w:eastAsia="宋体" w:cs="宋体"/>
                <w:b/>
                <w:bCs/>
                <w:color w:val="auto"/>
                <w:sz w:val="21"/>
                <w:szCs w:val="21"/>
                <w:highlight w:val="none"/>
                <w:u w:val="none"/>
                <w:lang w:val="en-US" w:eastAsia="zh-CN"/>
              </w:rPr>
              <w:t>大写:</w:t>
            </w:r>
            <w:r>
              <w:rPr>
                <w:rFonts w:hint="eastAsia" w:ascii="宋体" w:hAnsi="宋体" w:cs="宋体"/>
                <w:b/>
                <w:bCs/>
                <w:color w:val="auto"/>
                <w:sz w:val="21"/>
                <w:szCs w:val="21"/>
                <w:highlight w:val="none"/>
                <w:u w:val="none"/>
                <w:lang w:val="en-US" w:eastAsia="zh-CN"/>
              </w:rPr>
              <w:t>叁佰肆拾肆万零贰佰叁拾元零玖分（</w:t>
            </w:r>
            <w:r>
              <w:rPr>
                <w:rFonts w:hint="eastAsia" w:ascii="宋体" w:hAnsi="宋体" w:eastAsia="宋体" w:cs="宋体"/>
                <w:b/>
                <w:bCs/>
                <w:color w:val="auto"/>
                <w:sz w:val="21"/>
                <w:szCs w:val="21"/>
                <w:highlight w:val="none"/>
                <w:u w:val="none"/>
                <w:lang w:val="en-US" w:eastAsia="zh-CN"/>
              </w:rPr>
              <w:t>小写：</w:t>
            </w:r>
            <w:r>
              <w:rPr>
                <w:rFonts w:hint="eastAsia" w:ascii="宋体" w:hAnsi="宋体" w:cs="宋体"/>
                <w:b/>
                <w:bCs/>
                <w:color w:val="auto"/>
                <w:sz w:val="21"/>
                <w:szCs w:val="21"/>
                <w:highlight w:val="none"/>
                <w:u w:val="none"/>
                <w:lang w:val="en-US" w:eastAsia="zh-CN"/>
              </w:rPr>
              <w:t>3440230.09</w:t>
            </w:r>
            <w:r>
              <w:rPr>
                <w:rFonts w:hint="eastAsia" w:ascii="宋体" w:hAnsi="宋体" w:eastAsia="宋体" w:cs="宋体"/>
                <w:b/>
                <w:bCs/>
                <w:color w:val="auto"/>
                <w:sz w:val="21"/>
                <w:szCs w:val="21"/>
                <w:highlight w:val="none"/>
                <w:u w:val="none"/>
                <w:lang w:val="en-US" w:eastAsia="zh-CN"/>
              </w:rPr>
              <w:t>元）</w:t>
            </w:r>
          </w:p>
          <w:p w14:paraId="507C39AD">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最高投标限价应公布的内容详见“第五章 工程量清单”第2.3.3款</w:t>
            </w:r>
          </w:p>
        </w:tc>
      </w:tr>
      <w:tr w14:paraId="1346B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1065" w:type="dxa"/>
            <w:vAlign w:val="center"/>
          </w:tcPr>
          <w:p w14:paraId="591687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10.2.2</w:t>
            </w:r>
          </w:p>
        </w:tc>
        <w:tc>
          <w:tcPr>
            <w:tcW w:w="1498" w:type="dxa"/>
            <w:vAlign w:val="center"/>
          </w:tcPr>
          <w:p w14:paraId="402D47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投标报价计税</w:t>
            </w:r>
          </w:p>
          <w:p w14:paraId="4D73FD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方式</w:t>
            </w:r>
          </w:p>
        </w:tc>
        <w:tc>
          <w:tcPr>
            <w:tcW w:w="6707" w:type="dxa"/>
            <w:vAlign w:val="center"/>
          </w:tcPr>
          <w:p w14:paraId="13F0BC4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一般计税法</w:t>
            </w:r>
          </w:p>
          <w:p w14:paraId="7ED405A8">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简易计税法</w:t>
            </w:r>
          </w:p>
        </w:tc>
      </w:tr>
      <w:tr w14:paraId="1437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50499F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shd w:val="pct10" w:color="auto" w:fill="FFFFFF"/>
              </w:rPr>
            </w:pPr>
            <w:r>
              <w:rPr>
                <w:rFonts w:hint="eastAsia" w:ascii="宋体" w:hAnsi="宋体" w:eastAsia="宋体" w:cs="宋体"/>
                <w:color w:val="auto"/>
                <w:szCs w:val="21"/>
                <w:highlight w:val="none"/>
              </w:rPr>
              <w:t>10.2.3</w:t>
            </w:r>
          </w:p>
        </w:tc>
        <w:tc>
          <w:tcPr>
            <w:tcW w:w="1498" w:type="dxa"/>
            <w:vAlign w:val="center"/>
          </w:tcPr>
          <w:p w14:paraId="37F8DC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w:t>
            </w:r>
            <w:r>
              <w:rPr>
                <w:rFonts w:hint="eastAsia" w:ascii="宋体" w:hAnsi="宋体" w:eastAsia="宋体" w:cs="宋体"/>
                <w:color w:val="auto"/>
                <w:highlight w:val="none"/>
              </w:rPr>
              <w:t>奖项、标准化工地、加分业绩、信用评价、</w:t>
            </w:r>
            <w:r>
              <w:rPr>
                <w:rFonts w:hint="eastAsia" w:ascii="宋体" w:hAnsi="宋体" w:eastAsia="宋体" w:cs="宋体"/>
                <w:color w:val="auto"/>
                <w:sz w:val="21"/>
                <w:highlight w:val="none"/>
                <w:lang w:val="en-US" w:eastAsia="zh-CN"/>
              </w:rPr>
              <w:t>综合</w:t>
            </w:r>
            <w:r>
              <w:rPr>
                <w:rFonts w:hint="eastAsia" w:ascii="宋体" w:hAnsi="宋体" w:eastAsia="宋体" w:cs="宋体"/>
                <w:color w:val="auto"/>
                <w:highlight w:val="none"/>
              </w:rPr>
              <w:t>优良率</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绿色科技创新</w:t>
            </w:r>
            <w:r>
              <w:rPr>
                <w:rFonts w:hint="eastAsia" w:ascii="宋体" w:hAnsi="宋体" w:eastAsia="宋体" w:cs="宋体"/>
                <w:color w:val="auto"/>
                <w:highlight w:val="none"/>
              </w:rPr>
              <w:t>得分</w:t>
            </w:r>
            <w:r>
              <w:rPr>
                <w:rFonts w:hint="eastAsia" w:ascii="宋体" w:hAnsi="宋体" w:eastAsia="宋体" w:cs="宋体"/>
                <w:color w:val="auto"/>
                <w:szCs w:val="21"/>
                <w:highlight w:val="none"/>
              </w:rPr>
              <w:t>的计分方式</w:t>
            </w:r>
          </w:p>
        </w:tc>
        <w:tc>
          <w:tcPr>
            <w:tcW w:w="6707" w:type="dxa"/>
            <w:vAlign w:val="center"/>
          </w:tcPr>
          <w:p w14:paraId="4C86B3AD">
            <w:pPr>
              <w:keepNext w:val="0"/>
              <w:keepLines w:val="0"/>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 w:val="21"/>
                <w:highlight w:val="none"/>
              </w:rPr>
            </w:pPr>
            <w:r>
              <w:rPr>
                <w:rFonts w:hint="eastAsia" w:ascii="宋体" w:hAnsi="宋体" w:eastAsia="宋体" w:cs="宋体"/>
                <w:color w:val="auto"/>
                <w:sz w:val="21"/>
                <w:highlight w:val="none"/>
              </w:rPr>
              <w:t>招标项目存在不同类型工程内容的,招标人应根据项目实际情况在招标文件中明确主要类型（专业）,奖项、标准化工地、加分业绩、信用评价、</w:t>
            </w:r>
            <w:r>
              <w:rPr>
                <w:rFonts w:hint="eastAsia" w:ascii="宋体" w:hAnsi="宋体" w:eastAsia="宋体" w:cs="宋体"/>
                <w:color w:val="auto"/>
                <w:sz w:val="21"/>
                <w:highlight w:val="none"/>
                <w:lang w:val="en-US" w:eastAsia="zh-CN"/>
              </w:rPr>
              <w:t>综合</w:t>
            </w:r>
            <w:r>
              <w:rPr>
                <w:rFonts w:hint="eastAsia" w:ascii="宋体" w:hAnsi="宋体" w:eastAsia="宋体" w:cs="宋体"/>
                <w:color w:val="auto"/>
                <w:sz w:val="21"/>
                <w:highlight w:val="none"/>
              </w:rPr>
              <w:t>优良率</w:t>
            </w:r>
            <w:r>
              <w:rPr>
                <w:rFonts w:hint="eastAsia" w:ascii="宋体" w:hAnsi="宋体" w:eastAsia="宋体" w:cs="宋体"/>
                <w:color w:val="auto"/>
                <w:sz w:val="21"/>
                <w:highlight w:val="none"/>
                <w:lang w:eastAsia="zh-CN"/>
              </w:rPr>
              <w:t>、</w:t>
            </w:r>
            <w:r>
              <w:rPr>
                <w:rFonts w:hint="eastAsia" w:ascii="宋体" w:hAnsi="宋体" w:eastAsia="宋体" w:cs="宋体"/>
                <w:color w:val="auto"/>
                <w:highlight w:val="none"/>
                <w:lang w:val="en-US" w:eastAsia="zh-CN"/>
              </w:rPr>
              <w:t>绿色科技创新</w:t>
            </w:r>
            <w:r>
              <w:rPr>
                <w:rFonts w:hint="eastAsia" w:ascii="宋体" w:hAnsi="宋体" w:eastAsia="宋体" w:cs="宋体"/>
                <w:color w:val="auto"/>
                <w:sz w:val="21"/>
                <w:highlight w:val="none"/>
              </w:rPr>
              <w:t>得分为联合体主要类型(专业)单位的得分。</w:t>
            </w:r>
            <w:r>
              <w:rPr>
                <w:rFonts w:hint="eastAsia" w:ascii="宋体" w:hAnsi="宋体" w:eastAsia="宋体" w:cs="宋体"/>
                <w:color w:val="auto"/>
                <w:sz w:val="21"/>
                <w:highlight w:val="none"/>
                <w:lang w:val="en-US" w:eastAsia="zh-CN"/>
              </w:rPr>
              <w:t>本项目</w:t>
            </w:r>
            <w:r>
              <w:rPr>
                <w:rFonts w:hint="eastAsia" w:ascii="宋体" w:hAnsi="宋体" w:eastAsia="宋体" w:cs="宋体"/>
                <w:color w:val="auto"/>
                <w:sz w:val="21"/>
                <w:szCs w:val="21"/>
                <w:highlight w:val="none"/>
              </w:rPr>
              <w:t>主要类型（专业）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u w:val="single"/>
                <w:lang w:val="en-US" w:eastAsia="zh-CN"/>
              </w:rPr>
              <w:t xml:space="preserve">   /       </w:t>
            </w:r>
            <w:r>
              <w:rPr>
                <w:rFonts w:hint="eastAsia" w:ascii="宋体" w:hAnsi="宋体" w:eastAsia="宋体" w:cs="宋体"/>
                <w:color w:val="auto"/>
                <w:sz w:val="21"/>
                <w:highlight w:val="none"/>
                <w:lang w:val="en-US" w:eastAsia="zh-CN"/>
              </w:rPr>
              <w:t xml:space="preserve">    </w:t>
            </w:r>
          </w:p>
          <w:p w14:paraId="3AF383D2">
            <w:pPr>
              <w:keepNext w:val="0"/>
              <w:keepLines w:val="0"/>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 w:val="21"/>
                <w:highlight w:val="none"/>
              </w:rPr>
            </w:pPr>
            <w:r>
              <w:rPr>
                <w:rFonts w:hint="eastAsia" w:ascii="宋体" w:hAnsi="宋体" w:eastAsia="宋体" w:cs="宋体"/>
                <w:color w:val="auto"/>
                <w:sz w:val="21"/>
                <w:highlight w:val="none"/>
              </w:rPr>
              <w:t>联合体中同一类型(专业)</w:t>
            </w:r>
            <w:r>
              <w:rPr>
                <w:rFonts w:hint="eastAsia" w:ascii="宋体" w:hAnsi="宋体" w:eastAsia="宋体" w:cs="宋体"/>
                <w:color w:val="auto"/>
                <w:sz w:val="21"/>
                <w:highlight w:val="none"/>
                <w:lang w:val="en-US" w:eastAsia="zh-CN"/>
              </w:rPr>
              <w:t>或者主要类型（专业）</w:t>
            </w:r>
            <w:r>
              <w:rPr>
                <w:rFonts w:hint="eastAsia" w:ascii="宋体" w:hAnsi="宋体" w:eastAsia="宋体" w:cs="宋体"/>
                <w:color w:val="auto"/>
                <w:sz w:val="21"/>
                <w:highlight w:val="none"/>
              </w:rPr>
              <w:t>的</w:t>
            </w:r>
            <w:r>
              <w:rPr>
                <w:rFonts w:hint="eastAsia" w:ascii="宋体" w:hAnsi="宋体" w:eastAsia="宋体" w:cs="宋体"/>
                <w:color w:val="auto"/>
                <w:sz w:val="21"/>
                <w:highlight w:val="none"/>
                <w:lang w:val="en-US" w:eastAsia="zh-CN"/>
              </w:rPr>
              <w:t>施工</w:t>
            </w:r>
            <w:r>
              <w:rPr>
                <w:rFonts w:hint="eastAsia" w:ascii="宋体" w:hAnsi="宋体" w:eastAsia="宋体" w:cs="宋体"/>
                <w:color w:val="auto"/>
                <w:sz w:val="21"/>
                <w:highlight w:val="none"/>
              </w:rPr>
              <w:t>企业有两家以上的,奖项、标准化工地、加分业绩、信用评价、</w:t>
            </w:r>
            <w:r>
              <w:rPr>
                <w:rFonts w:hint="eastAsia" w:ascii="宋体" w:hAnsi="宋体" w:eastAsia="宋体" w:cs="宋体"/>
                <w:color w:val="auto"/>
                <w:sz w:val="21"/>
                <w:highlight w:val="none"/>
                <w:lang w:val="en-US" w:eastAsia="zh-CN"/>
              </w:rPr>
              <w:t>综合</w:t>
            </w:r>
            <w:r>
              <w:rPr>
                <w:rFonts w:hint="eastAsia" w:ascii="宋体" w:hAnsi="宋体" w:eastAsia="宋体" w:cs="宋体"/>
                <w:color w:val="auto"/>
                <w:sz w:val="21"/>
                <w:highlight w:val="none"/>
              </w:rPr>
              <w:t>优良率</w:t>
            </w:r>
            <w:r>
              <w:rPr>
                <w:rFonts w:hint="eastAsia" w:ascii="宋体" w:hAnsi="宋体" w:eastAsia="宋体" w:cs="宋体"/>
                <w:color w:val="auto"/>
                <w:sz w:val="21"/>
                <w:highlight w:val="none"/>
                <w:lang w:eastAsia="zh-CN"/>
              </w:rPr>
              <w:t>、</w:t>
            </w:r>
            <w:r>
              <w:rPr>
                <w:rFonts w:hint="eastAsia" w:ascii="宋体" w:hAnsi="宋体" w:eastAsia="宋体" w:cs="宋体"/>
                <w:color w:val="auto"/>
                <w:highlight w:val="none"/>
                <w:lang w:val="en-US" w:eastAsia="zh-CN"/>
              </w:rPr>
              <w:t>绿色科技创新</w:t>
            </w:r>
            <w:r>
              <w:rPr>
                <w:rFonts w:hint="eastAsia" w:ascii="宋体" w:hAnsi="宋体" w:eastAsia="宋体" w:cs="宋体"/>
                <w:color w:val="auto"/>
                <w:sz w:val="21"/>
                <w:highlight w:val="none"/>
              </w:rPr>
              <w:t>得分分别为该类型(专业)</w:t>
            </w:r>
            <w:r>
              <w:rPr>
                <w:rFonts w:hint="eastAsia" w:ascii="宋体" w:hAnsi="宋体" w:eastAsia="宋体" w:cs="宋体"/>
                <w:color w:val="auto"/>
                <w:sz w:val="21"/>
                <w:highlight w:val="none"/>
                <w:lang w:eastAsia="zh-CN"/>
              </w:rPr>
              <w:t>联合体各方</w:t>
            </w:r>
            <w:r>
              <w:rPr>
                <w:rFonts w:hint="eastAsia" w:ascii="宋体" w:hAnsi="宋体" w:eastAsia="宋体" w:cs="宋体"/>
                <w:color w:val="auto"/>
                <w:sz w:val="21"/>
                <w:highlight w:val="none"/>
              </w:rPr>
              <w:t>得分的平均值。</w:t>
            </w:r>
          </w:p>
          <w:p w14:paraId="5C04990F">
            <w:pPr>
              <w:keepNext w:val="0"/>
              <w:keepLines w:val="0"/>
              <w:suppressLineNumbers w:val="0"/>
              <w:spacing w:before="0" w:beforeAutospacing="0" w:after="0" w:afterAutospacing="0" w:line="360" w:lineRule="auto"/>
              <w:ind w:left="218" w:leftChars="104" w:right="0" w:firstLine="0" w:firstLineChars="0"/>
              <w:jc w:val="left"/>
              <w:rPr>
                <w:rFonts w:hint="eastAsia" w:ascii="宋体" w:hAnsi="宋体" w:eastAsia="宋体" w:cs="宋体"/>
                <w:color w:val="auto"/>
                <w:kern w:val="0"/>
                <w:sz w:val="18"/>
                <w:highlight w:val="none"/>
                <w:u w:val="single"/>
              </w:rPr>
            </w:pPr>
          </w:p>
        </w:tc>
      </w:tr>
      <w:tr w14:paraId="60F3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065" w:type="dxa"/>
            <w:vAlign w:val="center"/>
          </w:tcPr>
          <w:p w14:paraId="7D3D55D0">
            <w:pPr>
              <w:keepNext w:val="0"/>
              <w:keepLines w:val="0"/>
              <w:suppressLineNumbers w:val="0"/>
              <w:spacing w:before="0" w:beforeAutospacing="0" w:after="0" w:afterAutospacing="0" w:line="360" w:lineRule="auto"/>
              <w:ind w:left="0" w:right="0"/>
              <w:jc w:val="center"/>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t>10.2.4</w:t>
            </w:r>
          </w:p>
        </w:tc>
        <w:tc>
          <w:tcPr>
            <w:tcW w:w="1498" w:type="dxa"/>
            <w:vAlign w:val="center"/>
          </w:tcPr>
          <w:p w14:paraId="317290E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进入</w:t>
            </w:r>
            <w:r>
              <w:rPr>
                <w:rFonts w:hint="eastAsia" w:ascii="宋体" w:hAnsi="宋体" w:eastAsia="宋体" w:cs="宋体"/>
                <w:color w:val="auto"/>
                <w:szCs w:val="21"/>
                <w:highlight w:val="none"/>
                <w:lang w:val="en-US" w:eastAsia="zh-CN"/>
              </w:rPr>
              <w:t>投标报价</w:t>
            </w:r>
            <w:r>
              <w:rPr>
                <w:rFonts w:hint="eastAsia" w:ascii="宋体" w:hAnsi="宋体" w:eastAsia="宋体" w:cs="宋体"/>
                <w:color w:val="auto"/>
                <w:szCs w:val="21"/>
                <w:highlight w:val="none"/>
              </w:rPr>
              <w:t>评审阶段投标人数量的确定方式</w:t>
            </w:r>
          </w:p>
        </w:tc>
        <w:tc>
          <w:tcPr>
            <w:tcW w:w="6707" w:type="dxa"/>
            <w:vAlign w:val="center"/>
          </w:tcPr>
          <w:p w14:paraId="40E0371E">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1.采</w:t>
            </w:r>
            <w:r>
              <w:rPr>
                <w:rFonts w:hint="eastAsia" w:ascii="宋体" w:hAnsi="宋体" w:eastAsia="宋体" w:cs="宋体"/>
                <w:bCs/>
                <w:color w:val="auto"/>
                <w:szCs w:val="21"/>
                <w:highlight w:val="none"/>
              </w:rPr>
              <w:t>用经评审的最低投标价法评标的：</w:t>
            </w:r>
          </w:p>
          <w:p w14:paraId="6ABE78D7">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cs="宋体"/>
                <w:bCs/>
                <w:color w:val="auto"/>
                <w:szCs w:val="21"/>
                <w:highlight w:val="none"/>
                <w:lang w:eastAsia="zh-CN"/>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下一步评审</w:t>
            </w:r>
            <w:r>
              <w:rPr>
                <w:rFonts w:hint="eastAsia" w:ascii="宋体" w:hAnsi="宋体" w:eastAsia="宋体" w:cs="宋体"/>
                <w:bCs/>
                <w:color w:val="auto"/>
                <w:szCs w:val="21"/>
                <w:highlight w:val="none"/>
              </w:rPr>
              <w:t>；</w:t>
            </w:r>
          </w:p>
          <w:p w14:paraId="24E14934">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cs="宋体"/>
                <w:bCs/>
                <w:color w:val="auto"/>
                <w:szCs w:val="21"/>
                <w:highlight w:val="none"/>
                <w:lang w:eastAsia="zh-CN"/>
              </w:rPr>
              <w:t>□</w:t>
            </w:r>
            <w:r>
              <w:rPr>
                <w:rFonts w:hint="eastAsia" w:ascii="宋体" w:hAnsi="宋体" w:eastAsia="宋体" w:cs="宋体"/>
                <w:bCs/>
                <w:color w:val="auto"/>
                <w:szCs w:val="21"/>
                <w:highlight w:val="none"/>
              </w:rPr>
              <w:t>合格投标人超过</w:t>
            </w:r>
            <w:r>
              <w:rPr>
                <w:rFonts w:hint="eastAsia" w:ascii="宋体" w:hAnsi="宋体" w:eastAsia="宋体" w:cs="宋体"/>
                <w:bCs/>
                <w:color w:val="auto"/>
                <w:szCs w:val="21"/>
                <w:highlight w:val="none"/>
                <w:lang w:val="en-US" w:eastAsia="zh-CN"/>
              </w:rPr>
              <w:t>25</w:t>
            </w:r>
            <w:r>
              <w:rPr>
                <w:rFonts w:hint="eastAsia" w:ascii="宋体" w:hAnsi="宋体" w:eastAsia="宋体" w:cs="宋体"/>
                <w:bCs/>
                <w:color w:val="auto"/>
                <w:szCs w:val="21"/>
                <w:highlight w:val="none"/>
              </w:rPr>
              <w:t>个的（不足</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5个时，全部进入投标报价评审），按照投标报价由低至高的顺序确定</w:t>
            </w:r>
            <w:r>
              <w:rPr>
                <w:rFonts w:hint="eastAsia" w:ascii="宋体" w:hAnsi="宋体" w:eastAsia="宋体" w:cs="宋体"/>
                <w:bCs/>
                <w:color w:val="auto"/>
                <w:szCs w:val="21"/>
                <w:highlight w:val="none"/>
                <w:lang w:val="en-US" w:eastAsia="zh-CN"/>
              </w:rPr>
              <w:t>25</w:t>
            </w:r>
            <w:r>
              <w:rPr>
                <w:rFonts w:hint="eastAsia" w:ascii="宋体" w:hAnsi="宋体" w:eastAsia="宋体" w:cs="宋体"/>
                <w:bCs/>
                <w:color w:val="auto"/>
                <w:szCs w:val="21"/>
                <w:highlight w:val="none"/>
              </w:rPr>
              <w:t>个投标人进入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szCs w:val="21"/>
                <w:highlight w:val="none"/>
              </w:rPr>
              <w:t>评审，</w:t>
            </w:r>
            <w:r>
              <w:rPr>
                <w:rFonts w:hint="eastAsia" w:ascii="宋体" w:hAnsi="宋体" w:eastAsia="宋体" w:cs="宋体"/>
                <w:bCs/>
                <w:color w:val="auto"/>
                <w:kern w:val="2"/>
                <w:szCs w:val="21"/>
                <w:highlight w:val="none"/>
              </w:rPr>
              <w:t>报价相同无法确定前</w:t>
            </w:r>
            <w:r>
              <w:rPr>
                <w:rFonts w:hint="eastAsia" w:ascii="宋体" w:hAnsi="宋体" w:eastAsia="宋体" w:cs="宋体"/>
                <w:bCs/>
                <w:color w:val="auto"/>
                <w:kern w:val="2"/>
                <w:szCs w:val="21"/>
                <w:highlight w:val="none"/>
                <w:lang w:eastAsia="zh-CN"/>
              </w:rPr>
              <w:t>2</w:t>
            </w:r>
            <w:r>
              <w:rPr>
                <w:rFonts w:hint="eastAsia" w:ascii="宋体" w:hAnsi="宋体" w:eastAsia="宋体" w:cs="宋体"/>
                <w:bCs/>
                <w:color w:val="auto"/>
                <w:kern w:val="2"/>
                <w:szCs w:val="21"/>
                <w:highlight w:val="none"/>
                <w:lang w:val="en-US" w:eastAsia="zh-CN"/>
              </w:rPr>
              <w:t>5</w:t>
            </w:r>
            <w:r>
              <w:rPr>
                <w:rFonts w:hint="eastAsia" w:ascii="宋体" w:hAnsi="宋体" w:eastAsia="宋体" w:cs="宋体"/>
                <w:bCs/>
                <w:color w:val="auto"/>
                <w:kern w:val="2"/>
                <w:szCs w:val="21"/>
                <w:highlight w:val="none"/>
              </w:rPr>
              <w:t>个投标人时，</w:t>
            </w:r>
            <w:r>
              <w:rPr>
                <w:rFonts w:hint="eastAsia" w:ascii="宋体" w:hAnsi="宋体" w:eastAsia="宋体" w:cs="宋体"/>
                <w:bCs/>
                <w:color w:val="auto"/>
                <w:szCs w:val="21"/>
                <w:highlight w:val="none"/>
              </w:rPr>
              <w:t>其末位投标人报价相同的全部进入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kern w:val="2"/>
                <w:szCs w:val="21"/>
                <w:highlight w:val="none"/>
              </w:rPr>
              <w:t>评审。</w:t>
            </w:r>
          </w:p>
          <w:p w14:paraId="3FA0CB2C">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2.采用综合评估法评标的：</w:t>
            </w:r>
          </w:p>
          <w:p w14:paraId="6ADD0F22">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投标报价评审</w:t>
            </w:r>
            <w:r>
              <w:rPr>
                <w:rFonts w:hint="eastAsia" w:ascii="宋体" w:hAnsi="宋体" w:eastAsia="宋体" w:cs="宋体"/>
                <w:bCs/>
                <w:color w:val="auto"/>
                <w:szCs w:val="21"/>
                <w:highlight w:val="none"/>
              </w:rPr>
              <w:t>；</w:t>
            </w:r>
          </w:p>
          <w:p w14:paraId="4DC5A576">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□按照</w:t>
            </w:r>
            <w:r>
              <w:rPr>
                <w:rFonts w:hint="eastAsia" w:ascii="宋体" w:hAnsi="宋体" w:eastAsia="宋体" w:cs="宋体"/>
                <w:bCs/>
                <w:color w:val="auto"/>
                <w:kern w:val="2"/>
                <w:szCs w:val="21"/>
                <w:highlight w:val="none"/>
              </w:rPr>
              <w:t>企业资信及履约能力评审得分与</w:t>
            </w:r>
            <w:r>
              <w:rPr>
                <w:rFonts w:hint="eastAsia" w:ascii="宋体" w:hAnsi="宋体" w:eastAsia="宋体" w:cs="宋体"/>
                <w:bCs/>
                <w:color w:val="auto"/>
                <w:kern w:val="2"/>
                <w:szCs w:val="21"/>
                <w:highlight w:val="none"/>
                <w:lang w:val="en-US" w:eastAsia="zh-CN"/>
              </w:rPr>
              <w:t>施工组织设计</w:t>
            </w:r>
            <w:r>
              <w:rPr>
                <w:rFonts w:hint="eastAsia" w:ascii="宋体" w:hAnsi="宋体" w:eastAsia="宋体" w:cs="宋体"/>
                <w:bCs/>
                <w:color w:val="auto"/>
                <w:kern w:val="2"/>
                <w:szCs w:val="21"/>
                <w:highlight w:val="none"/>
              </w:rPr>
              <w:t>评审得分乘以相应权重之和</w:t>
            </w:r>
            <w:r>
              <w:rPr>
                <w:rFonts w:hint="eastAsia" w:ascii="宋体" w:hAnsi="宋体" w:eastAsia="宋体" w:cs="宋体"/>
                <w:bCs/>
                <w:color w:val="auto"/>
                <w:szCs w:val="21"/>
                <w:highlight w:val="none"/>
              </w:rPr>
              <w:t>由高至低的顺序确定</w:t>
            </w:r>
            <w:r>
              <w:rPr>
                <w:rFonts w:hint="eastAsia" w:ascii="宋体" w:hAnsi="宋体" w:eastAsia="宋体" w:cs="宋体"/>
                <w:bCs/>
                <w:color w:val="auto"/>
                <w:szCs w:val="21"/>
                <w:highlight w:val="none"/>
                <w:lang w:val="en-US" w:eastAsia="zh-CN"/>
              </w:rPr>
              <w:t>15个</w:t>
            </w:r>
            <w:r>
              <w:rPr>
                <w:rFonts w:hint="eastAsia" w:ascii="宋体" w:hAnsi="宋体" w:eastAsia="宋体" w:cs="宋体"/>
                <w:bCs/>
                <w:color w:val="auto"/>
                <w:szCs w:val="21"/>
                <w:highlight w:val="none"/>
              </w:rPr>
              <w:t>投标人进</w:t>
            </w:r>
            <w:r>
              <w:rPr>
                <w:rFonts w:hint="eastAsia" w:ascii="宋体" w:hAnsi="宋体" w:eastAsia="宋体" w:cs="宋体"/>
                <w:bCs/>
                <w:color w:val="auto"/>
                <w:szCs w:val="21"/>
                <w:highlight w:val="none"/>
                <w:lang w:val="en-US" w:eastAsia="zh-CN"/>
              </w:rPr>
              <w:t>行投标报价</w:t>
            </w:r>
            <w:r>
              <w:rPr>
                <w:rFonts w:hint="eastAsia" w:ascii="宋体" w:hAnsi="宋体" w:eastAsia="宋体" w:cs="宋体"/>
                <w:bCs/>
                <w:color w:val="auto"/>
                <w:szCs w:val="21"/>
                <w:highlight w:val="none"/>
              </w:rPr>
              <w:t>评审（不足15个时，全部进入投标报价评审）</w:t>
            </w:r>
            <w:r>
              <w:rPr>
                <w:rFonts w:hint="eastAsia" w:ascii="宋体" w:hAnsi="宋体" w:eastAsia="宋体" w:cs="宋体"/>
                <w:bCs/>
                <w:color w:val="auto"/>
                <w:szCs w:val="21"/>
                <w:highlight w:val="none"/>
                <w:lang w:eastAsia="zh-CN"/>
              </w:rPr>
              <w:t>，得分相同无法确定前15个投标人时，其末位投标人得分相同的全部进入投标报价评审。</w:t>
            </w:r>
            <w:r>
              <w:rPr>
                <w:rFonts w:hint="eastAsia" w:ascii="宋体" w:hAnsi="宋体" w:eastAsia="宋体" w:cs="宋体"/>
                <w:bCs/>
                <w:color w:val="auto"/>
                <w:kern w:val="2"/>
                <w:szCs w:val="21"/>
                <w:highlight w:val="none"/>
              </w:rPr>
              <w:t>其中最高投标限价5000万元以下的项目，再从本次投标得分排名50个以内的剩余合格投标人中随机抽取5个投标人进入投标报价评审，得分相同无法确定排名50个以内时，其末位投标人得分相同的全部</w:t>
            </w:r>
            <w:r>
              <w:rPr>
                <w:rFonts w:hint="eastAsia" w:ascii="宋体" w:hAnsi="宋体" w:eastAsia="宋体" w:cs="宋体"/>
                <w:bCs/>
                <w:color w:val="auto"/>
                <w:kern w:val="2"/>
                <w:szCs w:val="21"/>
                <w:highlight w:val="none"/>
                <w:lang w:val="en-US" w:eastAsia="zh-CN"/>
              </w:rPr>
              <w:t>纳入随机抽取范围</w:t>
            </w:r>
            <w:r>
              <w:rPr>
                <w:rFonts w:hint="eastAsia" w:ascii="宋体" w:hAnsi="宋体" w:eastAsia="宋体" w:cs="宋体"/>
                <w:bCs/>
                <w:color w:val="auto"/>
                <w:kern w:val="2"/>
                <w:szCs w:val="21"/>
                <w:highlight w:val="none"/>
                <w:lang w:eastAsia="zh-CN"/>
              </w:rPr>
              <w:t>，</w:t>
            </w:r>
            <w:r>
              <w:rPr>
                <w:rFonts w:hint="eastAsia" w:ascii="宋体" w:hAnsi="宋体" w:eastAsia="宋体" w:cs="宋体"/>
                <w:bCs/>
                <w:color w:val="auto"/>
                <w:kern w:val="2"/>
                <w:szCs w:val="21"/>
                <w:highlight w:val="none"/>
              </w:rPr>
              <w:t>剩余合格投标人不足5个的，全部进入投标报价评审。</w:t>
            </w:r>
          </w:p>
        </w:tc>
      </w:tr>
      <w:tr w14:paraId="689E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65" w:type="dxa"/>
            <w:vAlign w:val="center"/>
          </w:tcPr>
          <w:p w14:paraId="7D244538">
            <w:pPr>
              <w:keepNext w:val="0"/>
              <w:keepLines w:val="0"/>
              <w:suppressLineNumbers w:val="0"/>
              <w:spacing w:before="0" w:beforeAutospacing="0" w:after="0" w:afterAutospacing="0" w:line="360" w:lineRule="auto"/>
              <w:ind w:left="0" w:right="0"/>
              <w:jc w:val="center"/>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t>10.3</w:t>
            </w:r>
          </w:p>
        </w:tc>
        <w:tc>
          <w:tcPr>
            <w:tcW w:w="1498" w:type="dxa"/>
            <w:vAlign w:val="center"/>
          </w:tcPr>
          <w:p w14:paraId="0D8666D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p>
          <w:p w14:paraId="3E38F3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施工组织设计   的评审</w:t>
            </w:r>
          </w:p>
          <w:p w14:paraId="3BCB7665">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p>
        </w:tc>
        <w:tc>
          <w:tcPr>
            <w:tcW w:w="6707" w:type="dxa"/>
            <w:vAlign w:val="center"/>
          </w:tcPr>
          <w:p w14:paraId="6564E2A1">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施工组织设计编制要求</w:t>
            </w:r>
          </w:p>
          <w:p w14:paraId="3D007CE4">
            <w:pPr>
              <w:keepNext w:val="0"/>
              <w:keepLines w:val="0"/>
              <w:suppressLineNumbers w:val="0"/>
              <w:spacing w:before="33" w:beforeAutospacing="0" w:after="0" w:afterAutospacing="0" w:line="360" w:lineRule="auto"/>
              <w:ind w:left="0" w:right="105"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不要求编制施工组织设计。</w:t>
            </w:r>
          </w:p>
          <w:p w14:paraId="51CC8EEF">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FE"/>
            </w:r>
            <w:r>
              <w:rPr>
                <w:rFonts w:hint="eastAsia" w:ascii="宋体" w:hAnsi="宋体" w:eastAsia="宋体" w:cs="宋体"/>
                <w:color w:val="auto"/>
                <w:szCs w:val="21"/>
                <w:highlight w:val="none"/>
              </w:rPr>
              <w:t>要求编制施工组织设计，采用合格性评审方式，投标人应按照第八章投标文件格式第三节“施工组织设计格式（明标）的编制要求”进行编制。</w:t>
            </w:r>
          </w:p>
          <w:p w14:paraId="5E1B4DAA">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rPr>
              <w:sym w:font="Wingdings" w:char="006F"/>
            </w:r>
            <w:r>
              <w:rPr>
                <w:rFonts w:hint="eastAsia" w:ascii="宋体" w:hAnsi="宋体" w:eastAsia="宋体" w:cs="宋体"/>
                <w:color w:val="auto"/>
                <w:szCs w:val="21"/>
                <w:highlight w:val="none"/>
              </w:rPr>
              <w:t>要求编制施工组织设计，采用计分评审方式，投标人应按照第八章投标文件格式第三节“施工组织设计格式（暗标）的要求”进行编制。</w:t>
            </w:r>
          </w:p>
          <w:p w14:paraId="3A610207">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施工组织设计</w:t>
            </w:r>
            <w:r>
              <w:rPr>
                <w:rFonts w:hint="eastAsia" w:ascii="宋体" w:hAnsi="宋体" w:eastAsia="宋体" w:cs="宋体"/>
                <w:color w:val="auto"/>
                <w:szCs w:val="21"/>
                <w:highlight w:val="none"/>
                <w:lang w:val="en-US" w:eastAsia="zh-CN"/>
              </w:rPr>
              <w:t>页数：不超过     页。</w:t>
            </w:r>
          </w:p>
        </w:tc>
      </w:tr>
      <w:tr w14:paraId="0B06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1065" w:type="dxa"/>
            <w:vAlign w:val="center"/>
          </w:tcPr>
          <w:p w14:paraId="04F083B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4</w:t>
            </w:r>
          </w:p>
        </w:tc>
        <w:tc>
          <w:tcPr>
            <w:tcW w:w="1498" w:type="dxa"/>
            <w:vAlign w:val="center"/>
          </w:tcPr>
          <w:p w14:paraId="307435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是否实行</w:t>
            </w:r>
          </w:p>
          <w:p w14:paraId="587E03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计算机辅助评标</w:t>
            </w:r>
          </w:p>
        </w:tc>
        <w:tc>
          <w:tcPr>
            <w:tcW w:w="6707" w:type="dxa"/>
            <w:vAlign w:val="center"/>
          </w:tcPr>
          <w:p w14:paraId="7581AE80">
            <w:pPr>
              <w:keepNext w:val="0"/>
              <w:keepLines w:val="0"/>
              <w:suppressLineNumbers w:val="0"/>
              <w:spacing w:before="0" w:beforeAutospacing="0" w:after="0" w:afterAutospacing="0" w:line="360" w:lineRule="auto"/>
              <w:ind w:left="-103" w:leftChars="-49" w:right="0" w:firstLine="422" w:firstLineChars="201"/>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否</w:t>
            </w:r>
          </w:p>
          <w:p w14:paraId="44EFAAE3">
            <w:pPr>
              <w:keepNext w:val="0"/>
              <w:keepLines w:val="0"/>
              <w:suppressLineNumbers w:val="0"/>
              <w:snapToGrid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□是，按投标人须知附件2-1“电子投标文件编制及报送要求”编制及报送电子投标文件。计算机辅助评标方法见投标人须知附件2-4。</w:t>
            </w:r>
          </w:p>
        </w:tc>
      </w:tr>
      <w:tr w14:paraId="4406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065" w:type="dxa"/>
            <w:vAlign w:val="center"/>
          </w:tcPr>
          <w:p w14:paraId="753A64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5</w:t>
            </w:r>
          </w:p>
        </w:tc>
        <w:tc>
          <w:tcPr>
            <w:tcW w:w="1498" w:type="dxa"/>
            <w:vAlign w:val="center"/>
          </w:tcPr>
          <w:p w14:paraId="68F1DF14">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是否要求投标人代表出席开标会</w:t>
            </w:r>
          </w:p>
        </w:tc>
        <w:tc>
          <w:tcPr>
            <w:tcW w:w="6707" w:type="dxa"/>
            <w:vAlign w:val="center"/>
          </w:tcPr>
          <w:p w14:paraId="2822CBE1">
            <w:pPr>
              <w:keepNext w:val="0"/>
              <w:keepLines w:val="0"/>
              <w:suppressLineNumbers w:val="0"/>
              <w:spacing w:before="0" w:beforeAutospacing="0" w:after="0" w:afterAutospacing="0" w:line="360" w:lineRule="auto"/>
              <w:ind w:left="0" w:leftChars="0" w:right="0" w:firstLine="420" w:firstLineChars="200"/>
              <w:rPr>
                <w:rFonts w:hint="eastAsia" w:ascii="宋体" w:hAnsi="宋体" w:eastAsia="宋体" w:cs="宋体"/>
                <w:color w:val="auto"/>
                <w:szCs w:val="21"/>
                <w:highlight w:val="none"/>
                <w:lang w:val="en-US" w:eastAsia="zh-CN"/>
              </w:rPr>
            </w:pPr>
            <w:r>
              <w:rPr>
                <w:rFonts w:hint="eastAsia"/>
                <w:color w:val="auto"/>
                <w:szCs w:val="21"/>
              </w:rPr>
              <w:t>☑</w:t>
            </w:r>
            <w:r>
              <w:rPr>
                <w:rFonts w:hint="default"/>
                <w:color w:val="auto"/>
                <w:szCs w:val="21"/>
              </w:rPr>
              <w:t>要求：</w:t>
            </w:r>
            <w:r>
              <w:rPr>
                <w:rFonts w:hint="eastAsia" w:ascii="宋体" w:hAnsi="宋体" w:eastAsia="宋体" w:cs="宋体"/>
                <w:b/>
                <w:bCs/>
                <w:color w:val="auto"/>
                <w:highlight w:val="none"/>
              </w:rPr>
              <w:t>投标人必须由企业法定代表人或拟任本项目</w:t>
            </w:r>
            <w:r>
              <w:rPr>
                <w:rFonts w:hint="eastAsia" w:ascii="宋体" w:hAnsi="宋体" w:eastAsia="宋体" w:cs="宋体"/>
                <w:b/>
                <w:bCs/>
                <w:color w:val="auto"/>
                <w:highlight w:val="none"/>
                <w:lang w:val="en-US" w:eastAsia="zh-CN"/>
              </w:rPr>
              <w:t>经理</w:t>
            </w:r>
            <w:r>
              <w:rPr>
                <w:rFonts w:hint="eastAsia" w:ascii="宋体" w:hAnsi="宋体" w:eastAsia="宋体" w:cs="宋体"/>
                <w:b/>
                <w:bCs/>
                <w:color w:val="auto"/>
                <w:highlight w:val="none"/>
              </w:rPr>
              <w:t>到场参加投标，并出示第二代身份证原件、</w:t>
            </w:r>
            <w:r>
              <w:rPr>
                <w:rFonts w:hint="eastAsia" w:ascii="宋体" w:hAnsi="宋体" w:eastAsia="宋体" w:cs="宋体"/>
                <w:b/>
                <w:bCs/>
                <w:color w:val="auto"/>
                <w:highlight w:val="none"/>
                <w:lang w:eastAsia="zh-CN"/>
              </w:rPr>
              <w:t>法定代表身份证明或法定代表身份证明和</w:t>
            </w:r>
            <w:r>
              <w:rPr>
                <w:rFonts w:hint="eastAsia" w:ascii="宋体" w:hAnsi="宋体" w:eastAsia="宋体" w:cs="宋体"/>
                <w:b/>
                <w:bCs/>
                <w:color w:val="auto"/>
                <w:highlight w:val="none"/>
              </w:rPr>
              <w:t>授权委托书</w:t>
            </w:r>
            <w:r>
              <w:rPr>
                <w:rFonts w:hint="eastAsia" w:ascii="宋体" w:hAnsi="宋体" w:eastAsia="宋体" w:cs="宋体"/>
                <w:b/>
                <w:bCs/>
                <w:color w:val="auto"/>
                <w:highlight w:val="none"/>
                <w:lang w:eastAsia="zh-CN"/>
              </w:rPr>
              <w:t>，</w:t>
            </w:r>
            <w:r>
              <w:rPr>
                <w:rFonts w:hint="eastAsia" w:ascii="宋体" w:hAnsi="宋体" w:eastAsia="宋体" w:cs="宋体"/>
                <w:b/>
                <w:bCs/>
                <w:color w:val="auto"/>
                <w:highlight w:val="none"/>
              </w:rPr>
              <w:t>否则招标人不予受理,投标无效。委托代理人必须是本招标项目的拟任项目经理</w:t>
            </w:r>
          </w:p>
        </w:tc>
      </w:tr>
      <w:tr w14:paraId="3C48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65" w:type="dxa"/>
            <w:vAlign w:val="center"/>
          </w:tcPr>
          <w:p w14:paraId="0D086D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6</w:t>
            </w:r>
          </w:p>
        </w:tc>
        <w:tc>
          <w:tcPr>
            <w:tcW w:w="1498" w:type="dxa"/>
            <w:vAlign w:val="center"/>
          </w:tcPr>
          <w:p w14:paraId="2CA9E54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中标公示</w:t>
            </w:r>
          </w:p>
        </w:tc>
        <w:tc>
          <w:tcPr>
            <w:tcW w:w="6707" w:type="dxa"/>
            <w:vAlign w:val="center"/>
          </w:tcPr>
          <w:p w14:paraId="5BDCA21F">
            <w:pPr>
              <w:keepNext w:val="0"/>
              <w:keepLines w:val="0"/>
              <w:widowControl/>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招标人收到评标报告之日起3日内，将中标候选人的情况在</w:t>
            </w:r>
            <w:bookmarkStart w:id="146" w:name="EB6028a70189e241f39a5aecd847ab199f"/>
            <w:r>
              <w:rPr>
                <w:rFonts w:hint="eastAsia" w:ascii="宋体" w:hAnsi="宋体" w:eastAsia="宋体" w:cs="宋体"/>
                <w:color w:val="auto"/>
                <w:szCs w:val="21"/>
                <w:highlight w:val="none"/>
                <w:u w:val="none"/>
                <w:lang w:eastAsia="zh-CN"/>
              </w:rPr>
              <w:t>江华瑶族自治县人民政府网</w:t>
            </w:r>
            <w:bookmarkEnd w:id="146"/>
            <w:r>
              <w:rPr>
                <w:rFonts w:hint="eastAsia" w:ascii="宋体" w:hAnsi="宋体" w:eastAsia="宋体" w:cs="宋体"/>
                <w:color w:val="auto"/>
                <w:szCs w:val="21"/>
                <w:highlight w:val="none"/>
              </w:rPr>
              <w:t>予以公示，公示期不少于3个工作日。</w:t>
            </w:r>
          </w:p>
        </w:tc>
      </w:tr>
      <w:tr w14:paraId="2AD6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65" w:type="dxa"/>
            <w:vAlign w:val="center"/>
          </w:tcPr>
          <w:p w14:paraId="5E9262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10.7</w:t>
            </w:r>
          </w:p>
        </w:tc>
        <w:tc>
          <w:tcPr>
            <w:tcW w:w="1498" w:type="dxa"/>
            <w:vAlign w:val="center"/>
          </w:tcPr>
          <w:p w14:paraId="65F1FC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省外入湘登记</w:t>
            </w:r>
          </w:p>
          <w:p w14:paraId="38E1C7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highlight w:val="none"/>
              </w:rPr>
              <w:t>要求</w:t>
            </w:r>
          </w:p>
        </w:tc>
        <w:tc>
          <w:tcPr>
            <w:tcW w:w="6707" w:type="dxa"/>
            <w:vAlign w:val="center"/>
          </w:tcPr>
          <w:p w14:paraId="527ABE5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Cs w:val="21"/>
                <w:highlight w:val="none"/>
              </w:rPr>
            </w:pPr>
            <w:r>
              <w:rPr>
                <w:rFonts w:hint="eastAsia" w:ascii="宋体" w:hAnsi="宋体" w:eastAsia="宋体" w:cs="宋体"/>
                <w:color w:val="auto"/>
                <w:highlight w:val="none"/>
              </w:rPr>
              <w:t>省外施工入湘企业在“湖南省住房和城乡建设网”进行基本信息登记（按照</w:t>
            </w:r>
            <w:r>
              <w:rPr>
                <w:rFonts w:hint="eastAsia" w:ascii="宋体" w:hAnsi="宋体" w:eastAsia="宋体" w:cs="宋体"/>
                <w:color w:val="auto"/>
                <w:szCs w:val="21"/>
                <w:highlight w:val="none"/>
              </w:rPr>
              <w:t>招标文件第七章投标文件格式第一节“投标函</w:t>
            </w:r>
            <w:r>
              <w:rPr>
                <w:rFonts w:hint="eastAsia" w:ascii="宋体" w:hAnsi="宋体" w:eastAsia="宋体" w:cs="宋体"/>
                <w:color w:val="auto"/>
                <w:szCs w:val="21"/>
                <w:highlight w:val="none"/>
                <w:lang w:val="en-US" w:eastAsia="zh-CN"/>
              </w:rPr>
              <w:t>及附录</w:t>
            </w:r>
            <w:r>
              <w:rPr>
                <w:rFonts w:hint="eastAsia" w:ascii="宋体" w:hAnsi="宋体" w:eastAsia="宋体" w:cs="宋体"/>
                <w:color w:val="auto"/>
                <w:szCs w:val="21"/>
                <w:highlight w:val="none"/>
              </w:rPr>
              <w:t>格式”规定</w:t>
            </w:r>
            <w:r>
              <w:rPr>
                <w:rFonts w:hint="eastAsia" w:ascii="宋体" w:hAnsi="宋体" w:eastAsia="宋体" w:cs="宋体"/>
                <w:color w:val="auto"/>
                <w:highlight w:val="none"/>
              </w:rPr>
              <w:t>提供查询网页截图）。</w:t>
            </w:r>
          </w:p>
        </w:tc>
      </w:tr>
      <w:tr w14:paraId="78E7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065" w:type="dxa"/>
            <w:vAlign w:val="center"/>
          </w:tcPr>
          <w:p w14:paraId="738F07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.8</w:t>
            </w:r>
          </w:p>
        </w:tc>
        <w:tc>
          <w:tcPr>
            <w:tcW w:w="1498" w:type="dxa"/>
            <w:vAlign w:val="center"/>
          </w:tcPr>
          <w:p w14:paraId="22CDC79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知识产权</w:t>
            </w:r>
          </w:p>
        </w:tc>
        <w:tc>
          <w:tcPr>
            <w:tcW w:w="6707" w:type="dxa"/>
            <w:vAlign w:val="center"/>
          </w:tcPr>
          <w:p w14:paraId="3DC76225">
            <w:pPr>
              <w:keepNext w:val="0"/>
              <w:keepLines w:val="0"/>
              <w:widowControl/>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招标人全部或者部分使用未中标人投标文件中的</w:t>
            </w:r>
            <w:r>
              <w:rPr>
                <w:rFonts w:hint="eastAsia" w:ascii="宋体" w:hAnsi="宋体" w:eastAsia="宋体" w:cs="宋体"/>
                <w:bCs/>
                <w:color w:val="auto"/>
                <w:szCs w:val="21"/>
                <w:highlight w:val="none"/>
              </w:rPr>
              <w:t>技术</w:t>
            </w:r>
            <w:r>
              <w:rPr>
                <w:rFonts w:hint="eastAsia" w:ascii="宋体" w:hAnsi="宋体" w:eastAsia="宋体" w:cs="宋体"/>
                <w:color w:val="auto"/>
                <w:szCs w:val="21"/>
                <w:highlight w:val="none"/>
              </w:rPr>
              <w:t>成果或技术方案时，需征得其书面同意，并不得擅自复印或提供给第三人。</w:t>
            </w:r>
          </w:p>
        </w:tc>
      </w:tr>
      <w:tr w14:paraId="5BE75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1065" w:type="dxa"/>
            <w:vAlign w:val="center"/>
          </w:tcPr>
          <w:p w14:paraId="10E047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9</w:t>
            </w:r>
          </w:p>
        </w:tc>
        <w:tc>
          <w:tcPr>
            <w:tcW w:w="1498" w:type="dxa"/>
            <w:vAlign w:val="center"/>
          </w:tcPr>
          <w:p w14:paraId="5656BED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同义词语</w:t>
            </w:r>
          </w:p>
        </w:tc>
        <w:tc>
          <w:tcPr>
            <w:tcW w:w="6707" w:type="dxa"/>
            <w:vAlign w:val="center"/>
          </w:tcPr>
          <w:p w14:paraId="5D2E5943">
            <w:pPr>
              <w:keepNext w:val="0"/>
              <w:keepLines w:val="0"/>
              <w:widowControl/>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14:paraId="32F3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065" w:type="dxa"/>
            <w:vAlign w:val="center"/>
          </w:tcPr>
          <w:p w14:paraId="4C87CAE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10</w:t>
            </w:r>
          </w:p>
        </w:tc>
        <w:tc>
          <w:tcPr>
            <w:tcW w:w="1498" w:type="dxa"/>
            <w:vAlign w:val="center"/>
          </w:tcPr>
          <w:p w14:paraId="1CEFE46C">
            <w:pPr>
              <w:keepNext w:val="0"/>
              <w:keepLines w:val="0"/>
              <w:widowControl/>
              <w:suppressLineNumbers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  督</w:t>
            </w:r>
          </w:p>
        </w:tc>
        <w:tc>
          <w:tcPr>
            <w:tcW w:w="6707" w:type="dxa"/>
            <w:vAlign w:val="center"/>
          </w:tcPr>
          <w:p w14:paraId="46A1D382">
            <w:pPr>
              <w:keepNext w:val="0"/>
              <w:keepLines w:val="0"/>
              <w:widowControl/>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本项目的</w:t>
            </w:r>
            <w:r>
              <w:rPr>
                <w:rFonts w:hint="eastAsia" w:ascii="宋体" w:hAnsi="宋体" w:eastAsia="宋体" w:cs="宋体"/>
                <w:bCs/>
                <w:color w:val="auto"/>
                <w:szCs w:val="21"/>
                <w:highlight w:val="none"/>
              </w:rPr>
              <w:t>招标</w:t>
            </w:r>
            <w:r>
              <w:rPr>
                <w:rFonts w:hint="eastAsia" w:ascii="宋体" w:hAnsi="宋体" w:eastAsia="宋体" w:cs="宋体"/>
                <w:color w:val="auto"/>
                <w:szCs w:val="21"/>
                <w:highlight w:val="none"/>
              </w:rPr>
              <w:t>投标活动及其相关当事人应当接受有管辖权的建设工程招标投标行政监督部门依法实施的监督。</w:t>
            </w:r>
          </w:p>
        </w:tc>
      </w:tr>
      <w:tr w14:paraId="70359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4" w:hRule="atLeast"/>
        </w:trPr>
        <w:tc>
          <w:tcPr>
            <w:tcW w:w="1065" w:type="dxa"/>
            <w:vAlign w:val="center"/>
          </w:tcPr>
          <w:p w14:paraId="15A01C5B">
            <w:pPr>
              <w:keepNext w:val="0"/>
              <w:keepLines w:val="0"/>
              <w:suppressLineNumbers w:val="0"/>
              <w:spacing w:before="0" w:beforeAutospacing="0" w:after="0" w:afterAutospacing="0" w:line="360" w:lineRule="auto"/>
              <w:ind w:left="0" w:right="0" w:firstLine="105" w:firstLineChars="5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1</w:t>
            </w:r>
          </w:p>
        </w:tc>
        <w:tc>
          <w:tcPr>
            <w:tcW w:w="1498" w:type="dxa"/>
            <w:vAlign w:val="center"/>
          </w:tcPr>
          <w:p w14:paraId="26A2967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解释权</w:t>
            </w:r>
          </w:p>
        </w:tc>
        <w:tc>
          <w:tcPr>
            <w:tcW w:w="6707" w:type="dxa"/>
            <w:vAlign w:val="center"/>
          </w:tcPr>
          <w:p w14:paraId="5D7B7AD7">
            <w:pPr>
              <w:keepNext w:val="0"/>
              <w:keepLines w:val="0"/>
              <w:widowControl/>
              <w:suppressLineNumbers w:val="0"/>
              <w:spacing w:before="0" w:beforeAutospacing="0" w:after="0" w:afterAutospacing="0" w:line="360" w:lineRule="auto"/>
              <w:ind w:left="-103" w:leftChars="-49" w:right="0" w:firstLine="422" w:firstLineChars="201"/>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构成本招标文件的各个组成文件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章，下同</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互为解释，互为说明；如有不明确或不一致，构成合同文件组成内容，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hint="eastAsia" w:ascii="宋体" w:hAnsi="宋体" w:eastAsia="宋体" w:cs="宋体"/>
                <w:bCs/>
                <w:color w:val="auto"/>
                <w:szCs w:val="21"/>
                <w:highlight w:val="none"/>
              </w:rPr>
              <w:t>解释</w:t>
            </w:r>
            <w:r>
              <w:rPr>
                <w:rFonts w:hint="eastAsia" w:ascii="宋体" w:hAnsi="宋体" w:eastAsia="宋体" w:cs="宋体"/>
                <w:color w:val="auto"/>
                <w:szCs w:val="21"/>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14:paraId="4FB8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9270" w:type="dxa"/>
            <w:gridSpan w:val="3"/>
            <w:vAlign w:val="center"/>
          </w:tcPr>
          <w:p w14:paraId="68146ADD">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其他补充内容</w:t>
            </w:r>
          </w:p>
        </w:tc>
      </w:tr>
      <w:tr w14:paraId="0EAC8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1065" w:type="dxa"/>
            <w:vAlign w:val="center"/>
          </w:tcPr>
          <w:p w14:paraId="1415680D">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.1</w:t>
            </w:r>
          </w:p>
        </w:tc>
        <w:tc>
          <w:tcPr>
            <w:tcW w:w="8205" w:type="dxa"/>
            <w:gridSpan w:val="2"/>
            <w:vAlign w:val="center"/>
          </w:tcPr>
          <w:p w14:paraId="6FD1B393">
            <w:pPr>
              <w:keepNext w:val="0"/>
              <w:keepLines w:val="0"/>
              <w:suppressLineNumbers w:val="0"/>
              <w:spacing w:before="0" w:beforeAutospacing="0" w:after="0" w:afterAutospacing="0" w:line="360" w:lineRule="auto"/>
              <w:ind w:left="0" w:right="0"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以暂估价形式包括在总承包范围内的工程、货物、服务属于依法必须进行招标的项目范围且达到国家规定规模标准的，应当依法进行招标。</w:t>
            </w:r>
          </w:p>
        </w:tc>
      </w:tr>
      <w:tr w14:paraId="3BA87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65" w:type="dxa"/>
            <w:vAlign w:val="center"/>
          </w:tcPr>
          <w:p w14:paraId="6BF37A31">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.2</w:t>
            </w:r>
          </w:p>
        </w:tc>
        <w:tc>
          <w:tcPr>
            <w:tcW w:w="8205" w:type="dxa"/>
            <w:gridSpan w:val="2"/>
            <w:vAlign w:val="center"/>
          </w:tcPr>
          <w:p w14:paraId="073D80A4">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1.招标文件中所设置的内容、条款及未尽事宜，以国家或省有关规定为准；</w:t>
            </w:r>
          </w:p>
          <w:p w14:paraId="5F4F3E50">
            <w:pPr>
              <w:keepNext w:val="0"/>
              <w:keepLines w:val="0"/>
              <w:suppressLineNumbers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2.其它：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Cs w:val="21"/>
                <w:highlight w:val="none"/>
                <w:u w:val="single"/>
              </w:rPr>
              <w:t xml:space="preserve">   </w:t>
            </w:r>
          </w:p>
        </w:tc>
      </w:tr>
      <w:tr w14:paraId="2013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065" w:type="dxa"/>
            <w:vAlign w:val="center"/>
          </w:tcPr>
          <w:p w14:paraId="1D9B42A5">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.3</w:t>
            </w:r>
          </w:p>
        </w:tc>
        <w:tc>
          <w:tcPr>
            <w:tcW w:w="8205" w:type="dxa"/>
            <w:gridSpan w:val="2"/>
            <w:vAlign w:val="center"/>
          </w:tcPr>
          <w:p w14:paraId="69A086F8">
            <w:pPr>
              <w:pStyle w:val="84"/>
              <w:keepNext w:val="0"/>
              <w:keepLines w:val="0"/>
              <w:suppressLineNumbers w:val="0"/>
              <w:spacing w:before="0" w:beforeAutospacing="0" w:after="0" w:afterAutospacing="0" w:line="360" w:lineRule="auto"/>
              <w:ind w:left="0" w:right="0"/>
              <w:rPr>
                <w:rFonts w:hint="eastAsia" w:ascii="宋体" w:hAnsi="宋体" w:eastAsia="宋体" w:cs="宋体"/>
                <w:color w:val="auto"/>
                <w:highlight w:val="none"/>
              </w:rPr>
            </w:pPr>
            <w:r>
              <w:rPr>
                <w:rFonts w:hint="eastAsia" w:ascii="宋体" w:hAnsi="宋体" w:eastAsia="宋体" w:cs="宋体"/>
                <w:color w:val="auto"/>
                <w:highlight w:val="none"/>
              </w:rPr>
              <w:t>本招标文件要求的复印件是指复印件或扫描件或影印件。</w:t>
            </w:r>
          </w:p>
        </w:tc>
      </w:tr>
      <w:tr w14:paraId="4274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065" w:type="dxa"/>
            <w:vAlign w:val="center"/>
          </w:tcPr>
          <w:p w14:paraId="353C32EA">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.4</w:t>
            </w:r>
          </w:p>
        </w:tc>
        <w:tc>
          <w:tcPr>
            <w:tcW w:w="8205" w:type="dxa"/>
            <w:gridSpan w:val="2"/>
            <w:vAlign w:val="center"/>
          </w:tcPr>
          <w:p w14:paraId="2A54C01E">
            <w:pPr>
              <w:pStyle w:val="84"/>
              <w:keepNext w:val="0"/>
              <w:keepLines w:val="0"/>
              <w:suppressLineNumbers w:val="0"/>
              <w:spacing w:before="0" w:beforeAutospacing="0" w:after="0" w:afterAutospacing="0" w:line="360" w:lineRule="auto"/>
              <w:ind w:left="0" w:right="0"/>
              <w:rPr>
                <w:rFonts w:hint="eastAsia" w:ascii="宋体" w:hAnsi="宋体" w:eastAsia="宋体" w:cs="宋体"/>
                <w:color w:val="auto"/>
                <w:highlight w:val="none"/>
                <w:u w:val="none"/>
              </w:rPr>
            </w:pPr>
            <w:r>
              <w:rPr>
                <w:rFonts w:hint="eastAsia" w:ascii="宋体" w:hAnsi="宋体" w:eastAsia="宋体" w:cs="宋体"/>
                <w:color w:val="auto"/>
                <w:highlight w:val="none"/>
              </w:rPr>
              <w:t>招标代理服务费：</w:t>
            </w:r>
            <w:r>
              <w:rPr>
                <w:rFonts w:hint="eastAsia" w:ascii="宋体" w:hAnsi="宋体" w:cs="宋体"/>
                <w:color w:val="auto"/>
                <w:highlight w:val="none"/>
                <w:lang w:eastAsia="zh-CN"/>
              </w:rPr>
              <w:t>参照计价格【2002】1980号文</w:t>
            </w:r>
            <w:r>
              <w:rPr>
                <w:rFonts w:hint="eastAsia" w:ascii="宋体" w:hAnsi="宋体" w:eastAsia="宋体" w:cs="宋体"/>
                <w:color w:val="auto"/>
                <w:kern w:val="0"/>
                <w:sz w:val="21"/>
                <w:szCs w:val="21"/>
                <w:highlight w:val="none"/>
                <w:lang w:val="en-US" w:eastAsia="zh-CN" w:bidi="ar-SA"/>
              </w:rPr>
              <w:t>收取，在领取中标通知书前由中标人采用现金或转账方式一次性支付给招标代理机构。</w:t>
            </w:r>
          </w:p>
          <w:p w14:paraId="1E1AFD29">
            <w:pPr>
              <w:pStyle w:val="84"/>
              <w:keepNext w:val="0"/>
              <w:keepLines w:val="0"/>
              <w:suppressLineNumbers w:val="0"/>
              <w:spacing w:before="0" w:beforeAutospacing="0" w:after="0" w:afterAutospacing="0" w:line="360" w:lineRule="auto"/>
              <w:ind w:left="0" w:right="0"/>
              <w:rPr>
                <w:rFonts w:hint="eastAsia" w:ascii="宋体" w:hAnsi="宋体" w:eastAsia="宋体" w:cs="宋体"/>
                <w:color w:val="auto"/>
                <w:highlight w:val="none"/>
              </w:rPr>
            </w:pPr>
            <w:r>
              <w:rPr>
                <w:rFonts w:hint="eastAsia" w:ascii="宋体" w:hAnsi="宋体" w:eastAsia="宋体" w:cs="宋体"/>
                <w:color w:val="auto"/>
                <w:highlight w:val="none"/>
              </w:rPr>
              <w:t>交易服务费：湘发改价费规〔2024〕292 号</w:t>
            </w:r>
            <w:r>
              <w:rPr>
                <w:rFonts w:hint="eastAsia" w:ascii="宋体" w:hAnsi="宋体" w:eastAsia="宋体" w:cs="宋体"/>
                <w:color w:val="auto"/>
                <w:kern w:val="0"/>
                <w:sz w:val="21"/>
                <w:szCs w:val="21"/>
                <w:highlight w:val="none"/>
                <w:lang w:val="en-US" w:eastAsia="zh-CN" w:bidi="ar-SA"/>
              </w:rPr>
              <w:t>。</w:t>
            </w:r>
          </w:p>
        </w:tc>
      </w:tr>
      <w:tr w14:paraId="67AD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1065" w:type="dxa"/>
            <w:vAlign w:val="center"/>
          </w:tcPr>
          <w:p w14:paraId="4998D744">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p>
        </w:tc>
        <w:tc>
          <w:tcPr>
            <w:tcW w:w="8205" w:type="dxa"/>
            <w:gridSpan w:val="2"/>
            <w:vAlign w:val="center"/>
          </w:tcPr>
          <w:p w14:paraId="4D789B34">
            <w:pPr>
              <w:pStyle w:val="84"/>
              <w:keepNext w:val="0"/>
              <w:keepLines w:val="0"/>
              <w:suppressLineNumbers w:val="0"/>
              <w:spacing w:before="0" w:beforeAutospacing="0" w:after="0" w:afterAutospacing="0" w:line="360" w:lineRule="auto"/>
              <w:ind w:left="0" w:right="0"/>
              <w:rPr>
                <w:rFonts w:hint="eastAsia" w:ascii="宋体" w:hAnsi="宋体" w:eastAsia="宋体" w:cs="宋体"/>
                <w:color w:val="auto"/>
                <w:highlight w:val="none"/>
              </w:rPr>
            </w:pPr>
            <w:r>
              <w:rPr>
                <w:rFonts w:hint="eastAsia" w:ascii="宋体" w:hAnsi="宋体" w:eastAsia="宋体" w:cs="宋体"/>
                <w:color w:val="auto"/>
                <w:highlight w:val="none"/>
              </w:rPr>
              <w:t>□本项目属于园林绿化工程。</w:t>
            </w:r>
          </w:p>
        </w:tc>
      </w:tr>
      <w:tr w14:paraId="0752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065" w:type="dxa"/>
            <w:vAlign w:val="center"/>
          </w:tcPr>
          <w:p w14:paraId="29588373">
            <w:pPr>
              <w:keepNext w:val="0"/>
              <w:keepLines w:val="0"/>
              <w:suppressLineNumbers w:val="0"/>
              <w:snapToGrid w:val="0"/>
              <w:spacing w:before="0" w:beforeAutospacing="0" w:after="0" w:afterAutospacing="0" w:line="360" w:lineRule="auto"/>
              <w:ind w:left="0" w:right="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p>
        </w:tc>
        <w:tc>
          <w:tcPr>
            <w:tcW w:w="8205" w:type="dxa"/>
            <w:gridSpan w:val="2"/>
            <w:vAlign w:val="center"/>
          </w:tcPr>
          <w:p w14:paraId="2EA9856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拟任项目经理在建情况以投标截止时在“湖南省建筑工程监管信息平台”查询信息为准，有在其他项目任关键岗位人员情形的，评标委员会应当否决其投标。</w:t>
            </w:r>
          </w:p>
          <w:p w14:paraId="2A3A214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拟任项目经理在“湖南省建筑工程监管信息平台”之外有在其他项目任关键岗位人员情形的，其奖项、业绩不予计分，且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取消其中标候选人资格，并提请住房和城乡建设主管部门按规定予以信用评价扣分。</w:t>
            </w:r>
          </w:p>
          <w:p w14:paraId="115C77B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中标候选人公示期满，拟任项目经理不能按时到岗履职的（含不能从其他项目按期撤离的），招标人取消其中标候选人资格，并提请住房和城乡建设主管部门按规定予以信用评价扣分。中标通知书发放后，拟任项目经理不能按时到岗履职的（含不能从其他项目按期撤离的），招标人取消其中标人资格，并提请住房和城乡建设主管部门按规定记录一般不良行为。</w:t>
            </w:r>
          </w:p>
        </w:tc>
      </w:tr>
      <w:tr w14:paraId="7725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1065" w:type="dxa"/>
            <w:vAlign w:val="center"/>
          </w:tcPr>
          <w:p w14:paraId="06C83DEB">
            <w:pPr>
              <w:keepNext w:val="0"/>
              <w:keepLines w:val="0"/>
              <w:suppressLineNumbers w:val="0"/>
              <w:snapToGrid w:val="0"/>
              <w:spacing w:before="0" w:beforeAutospacing="0" w:after="0" w:afterAutospacing="0" w:line="360" w:lineRule="auto"/>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10.12.7</w:t>
            </w:r>
          </w:p>
        </w:tc>
        <w:tc>
          <w:tcPr>
            <w:tcW w:w="8205" w:type="dxa"/>
            <w:gridSpan w:val="2"/>
            <w:vAlign w:val="center"/>
          </w:tcPr>
          <w:p w14:paraId="2946C576">
            <w:pPr>
              <w:pStyle w:val="84"/>
              <w:keepNext w:val="0"/>
              <w:keepLines w:val="0"/>
              <w:suppressLineNumbers w:val="0"/>
              <w:spacing w:before="0" w:beforeAutospacing="0" w:after="0" w:afterAutospacing="0" w:line="360" w:lineRule="auto"/>
              <w:ind w:left="0" w:right="0"/>
              <w:rPr>
                <w:rFonts w:hint="eastAsia" w:ascii="宋体" w:hAnsi="宋体" w:cs="宋体"/>
                <w:color w:val="auto"/>
                <w:highlight w:val="none"/>
                <w:lang w:val="en-US" w:eastAsia="zh-CN"/>
              </w:rPr>
            </w:pPr>
            <w:r>
              <w:rPr>
                <w:rFonts w:hint="eastAsia" w:ascii="宋体" w:hAnsi="宋体" w:cs="宋体"/>
                <w:color w:val="auto"/>
                <w:highlight w:val="none"/>
                <w:lang w:val="en-US" w:eastAsia="zh-CN"/>
              </w:rPr>
              <w:t>一、付款方式：承包人进场后支付合同金额的 10%预付款，工程进度款按每月实际完成工程量申报，支付比例为实际完成工程量的 80%，竣工验收合格后支付合同总价80%（含原拨付款）；经相关部门结算审计完成后付足总工程款的 97%（含原拨付款），留 3%作为工程质量保证金，质保期满后 30 个工作日内一次性支付（不计利息），逾期不能付清的按银行同期贷款利率计息付给乙方。</w:t>
            </w:r>
          </w:p>
          <w:p w14:paraId="4BDBA345">
            <w:pPr>
              <w:pStyle w:val="84"/>
              <w:keepNext w:val="0"/>
              <w:keepLines w:val="0"/>
              <w:suppressLineNumbers w:val="0"/>
              <w:spacing w:before="0" w:beforeAutospacing="0" w:after="0" w:afterAutospacing="0" w:line="360" w:lineRule="auto"/>
              <w:ind w:left="0" w:right="0"/>
              <w:rPr>
                <w:rFonts w:hint="eastAsia" w:ascii="宋体" w:hAnsi="宋体" w:cs="宋体"/>
                <w:color w:val="auto"/>
                <w:highlight w:val="none"/>
                <w:lang w:val="en-US" w:eastAsia="zh-CN"/>
              </w:rPr>
            </w:pPr>
            <w:r>
              <w:rPr>
                <w:rFonts w:hint="eastAsia" w:ascii="宋体" w:hAnsi="宋体" w:cs="宋体"/>
                <w:color w:val="auto"/>
                <w:highlight w:val="none"/>
                <w:lang w:val="en-US" w:eastAsia="zh-CN"/>
              </w:rPr>
              <w:t>二、中标人必须设置农民工工资保障的专项账户，最优先支付农民工的劳动报酬，不得</w:t>
            </w:r>
          </w:p>
          <w:p w14:paraId="67B9BA6C">
            <w:pPr>
              <w:pStyle w:val="84"/>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highlight w:val="none"/>
                <w:lang w:val="en-US" w:eastAsia="zh-CN"/>
              </w:rPr>
              <w:t>拖欠。因拖欠导致的一切后果，由中标人自行承担全部责任。</w:t>
            </w:r>
          </w:p>
        </w:tc>
      </w:tr>
    </w:tbl>
    <w:p w14:paraId="32236D84">
      <w:pPr>
        <w:snapToGrid w:val="0"/>
        <w:rPr>
          <w:rFonts w:hint="eastAsia" w:ascii="宋体" w:hAnsi="宋体" w:eastAsia="宋体" w:cs="宋体"/>
          <w:color w:val="auto"/>
          <w:sz w:val="28"/>
          <w:szCs w:val="28"/>
          <w:highlight w:val="none"/>
        </w:rPr>
      </w:pPr>
      <w:bookmarkStart w:id="147" w:name="_Toc300677998"/>
    </w:p>
    <w:p w14:paraId="1D282075">
      <w:pPr>
        <w:snapToGrid w:val="0"/>
        <w:rPr>
          <w:rFonts w:hint="eastAsia" w:ascii="宋体" w:hAnsi="宋体" w:eastAsia="宋体" w:cs="宋体"/>
          <w:color w:val="auto"/>
          <w:sz w:val="28"/>
          <w:szCs w:val="28"/>
          <w:highlight w:val="none"/>
        </w:rPr>
      </w:pPr>
    </w:p>
    <w:p w14:paraId="62A7C232">
      <w:pPr>
        <w:snapToGrid w:val="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bookmarkStart w:id="148" w:name="_Toc4324"/>
      <w:r>
        <w:rPr>
          <w:rFonts w:hint="eastAsia" w:ascii="宋体" w:hAnsi="宋体" w:eastAsia="宋体" w:cs="宋体"/>
          <w:color w:val="auto"/>
          <w:sz w:val="28"/>
          <w:szCs w:val="28"/>
          <w:highlight w:val="none"/>
        </w:rPr>
        <w:t>投标人须知</w:t>
      </w:r>
      <w:bookmarkEnd w:id="147"/>
      <w:bookmarkEnd w:id="148"/>
    </w:p>
    <w:p w14:paraId="2981CD5F">
      <w:pPr>
        <w:pStyle w:val="84"/>
        <w:rPr>
          <w:rFonts w:hint="eastAsia" w:ascii="宋体" w:hAnsi="宋体" w:eastAsia="宋体" w:cs="宋体"/>
          <w:color w:val="auto"/>
          <w:highlight w:val="none"/>
        </w:rPr>
      </w:pPr>
    </w:p>
    <w:p w14:paraId="35811E20">
      <w:pPr>
        <w:pStyle w:val="8"/>
        <w:spacing w:before="0" w:after="0" w:line="360" w:lineRule="auto"/>
        <w:rPr>
          <w:rFonts w:hint="eastAsia" w:ascii="宋体" w:hAnsi="宋体" w:eastAsia="宋体" w:cs="宋体"/>
          <w:b w:val="0"/>
          <w:bCs w:val="0"/>
          <w:color w:val="auto"/>
          <w:sz w:val="30"/>
          <w:highlight w:val="none"/>
        </w:rPr>
      </w:pPr>
      <w:bookmarkStart w:id="149" w:name="_Toc300677999"/>
      <w:bookmarkStart w:id="150" w:name="_Toc15548"/>
      <w:bookmarkStart w:id="151" w:name="_Toc5939"/>
      <w:bookmarkStart w:id="152" w:name="_Toc80006089"/>
      <w:bookmarkStart w:id="153" w:name="_Toc29624"/>
      <w:bookmarkStart w:id="154" w:name="_Toc22235"/>
      <w:bookmarkStart w:id="155" w:name="_Toc80006199"/>
      <w:bookmarkStart w:id="156" w:name="_Toc9178518"/>
      <w:bookmarkStart w:id="157" w:name="_Toc9458"/>
      <w:r>
        <w:rPr>
          <w:rFonts w:hint="eastAsia" w:ascii="宋体" w:hAnsi="宋体" w:eastAsia="宋体" w:cs="宋体"/>
          <w:b w:val="0"/>
          <w:bCs w:val="0"/>
          <w:color w:val="auto"/>
          <w:sz w:val="30"/>
          <w:highlight w:val="none"/>
        </w:rPr>
        <w:t>1.总则</w:t>
      </w:r>
      <w:bookmarkEnd w:id="149"/>
      <w:bookmarkEnd w:id="150"/>
      <w:bookmarkEnd w:id="151"/>
      <w:bookmarkEnd w:id="152"/>
      <w:bookmarkEnd w:id="153"/>
      <w:bookmarkEnd w:id="154"/>
      <w:bookmarkEnd w:id="155"/>
      <w:bookmarkEnd w:id="156"/>
      <w:bookmarkEnd w:id="157"/>
    </w:p>
    <w:p w14:paraId="4D637261">
      <w:pPr>
        <w:pStyle w:val="10"/>
        <w:rPr>
          <w:rFonts w:hint="eastAsia" w:ascii="宋体" w:hAnsi="宋体" w:eastAsia="宋体" w:cs="宋体"/>
          <w:b w:val="0"/>
          <w:bCs w:val="0"/>
          <w:color w:val="auto"/>
          <w:sz w:val="24"/>
          <w:highlight w:val="none"/>
        </w:rPr>
      </w:pPr>
      <w:bookmarkStart w:id="158" w:name="_Toc300678000"/>
      <w:r>
        <w:rPr>
          <w:rFonts w:hint="eastAsia" w:ascii="宋体" w:hAnsi="宋体" w:eastAsia="宋体" w:cs="宋体"/>
          <w:b w:val="0"/>
          <w:bCs w:val="0"/>
          <w:color w:val="auto"/>
          <w:sz w:val="24"/>
          <w:highlight w:val="none"/>
        </w:rPr>
        <w:t>1.1 项目概况</w:t>
      </w:r>
      <w:bookmarkEnd w:id="158"/>
    </w:p>
    <w:p w14:paraId="31C5D710">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1.1.1  根据《 中华人民共和国招标投标法》、</w:t>
      </w:r>
      <w:r>
        <w:rPr>
          <w:rFonts w:hint="eastAsia" w:ascii="宋体" w:hAnsi="宋体" w:eastAsia="宋体" w:cs="宋体"/>
          <w:color w:val="auto"/>
          <w:sz w:val="22"/>
          <w:szCs w:val="22"/>
          <w:highlight w:val="none"/>
        </w:rPr>
        <w:t>《中华人民共和国招标投标法实施条例》</w:t>
      </w:r>
      <w:r>
        <w:rPr>
          <w:rFonts w:hint="eastAsia" w:ascii="宋体" w:hAnsi="宋体" w:eastAsia="宋体" w:cs="宋体"/>
          <w:color w:val="auto"/>
          <w:highlight w:val="none"/>
        </w:rPr>
        <w:t xml:space="preserve"> 等有关法律、法规和规章的规定，本招标项目已具备招标条件，现对施工进行招标。</w:t>
      </w:r>
    </w:p>
    <w:p w14:paraId="4BC8B537">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1.1.2  招标人：见投标人须知前附表。</w:t>
      </w:r>
    </w:p>
    <w:p w14:paraId="2F82D47F">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1.1.3  招标代理机构：见投标人须知前附表。</w:t>
      </w:r>
    </w:p>
    <w:p w14:paraId="582AD8B4">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1.1.4  招标项目名称：见投标人须知前附表。</w:t>
      </w:r>
    </w:p>
    <w:p w14:paraId="01752857">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1.1.5  建设地点：见投标人须知前附表。</w:t>
      </w:r>
    </w:p>
    <w:p w14:paraId="46F1C47F">
      <w:pPr>
        <w:pStyle w:val="10"/>
        <w:rPr>
          <w:rFonts w:hint="eastAsia" w:ascii="宋体" w:hAnsi="宋体" w:eastAsia="宋体" w:cs="宋体"/>
          <w:b w:val="0"/>
          <w:bCs w:val="0"/>
          <w:color w:val="auto"/>
          <w:sz w:val="24"/>
          <w:highlight w:val="none"/>
        </w:rPr>
      </w:pPr>
      <w:bookmarkStart w:id="159" w:name="_Toc300678001"/>
      <w:r>
        <w:rPr>
          <w:rFonts w:hint="eastAsia" w:ascii="宋体" w:hAnsi="宋体" w:eastAsia="宋体" w:cs="宋体"/>
          <w:b w:val="0"/>
          <w:bCs w:val="0"/>
          <w:color w:val="auto"/>
          <w:sz w:val="24"/>
          <w:highlight w:val="none"/>
        </w:rPr>
        <w:t>1.2 资金来源和落实情况</w:t>
      </w:r>
      <w:bookmarkEnd w:id="159"/>
    </w:p>
    <w:p w14:paraId="1148D06C">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详见招标公告或投标邀请书 。</w:t>
      </w:r>
    </w:p>
    <w:p w14:paraId="34CBDBD6">
      <w:pPr>
        <w:pStyle w:val="10"/>
        <w:rPr>
          <w:rFonts w:hint="eastAsia" w:ascii="宋体" w:hAnsi="宋体" w:eastAsia="宋体" w:cs="宋体"/>
          <w:b w:val="0"/>
          <w:bCs w:val="0"/>
          <w:color w:val="auto"/>
          <w:sz w:val="24"/>
          <w:highlight w:val="none"/>
        </w:rPr>
      </w:pPr>
      <w:bookmarkStart w:id="160" w:name="_Toc300678002"/>
      <w:r>
        <w:rPr>
          <w:rFonts w:hint="eastAsia" w:ascii="宋体" w:hAnsi="宋体" w:eastAsia="宋体" w:cs="宋体"/>
          <w:b w:val="0"/>
          <w:bCs w:val="0"/>
          <w:color w:val="auto"/>
          <w:sz w:val="24"/>
          <w:highlight w:val="none"/>
        </w:rPr>
        <w:t>1.3 招标范围、计划工期和质量要求</w:t>
      </w:r>
      <w:bookmarkEnd w:id="160"/>
    </w:p>
    <w:p w14:paraId="750661E1">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1.3.1  招标范围：见投标人须知前附表。</w:t>
      </w:r>
    </w:p>
    <w:p w14:paraId="7ED82D86">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1.3.2  计划工期：见投标人须知前附表。</w:t>
      </w:r>
    </w:p>
    <w:p w14:paraId="23FEAE65">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1.3.3  质量标准和保修要求：见投标人须知前附表。</w:t>
      </w:r>
    </w:p>
    <w:p w14:paraId="0E25E680">
      <w:pPr>
        <w:pStyle w:val="10"/>
        <w:rPr>
          <w:rFonts w:hint="eastAsia" w:ascii="宋体" w:hAnsi="宋体" w:eastAsia="宋体" w:cs="宋体"/>
          <w:b w:val="0"/>
          <w:bCs w:val="0"/>
          <w:color w:val="auto"/>
          <w:sz w:val="24"/>
          <w:highlight w:val="none"/>
        </w:rPr>
      </w:pPr>
      <w:bookmarkStart w:id="161" w:name="_Toc300678003"/>
      <w:r>
        <w:rPr>
          <w:rFonts w:hint="eastAsia" w:ascii="宋体" w:hAnsi="宋体" w:eastAsia="宋体" w:cs="宋体"/>
          <w:b w:val="0"/>
          <w:bCs w:val="0"/>
          <w:color w:val="auto"/>
          <w:sz w:val="24"/>
          <w:highlight w:val="none"/>
        </w:rPr>
        <w:t>1.4 投标人资格要求</w:t>
      </w:r>
    </w:p>
    <w:p w14:paraId="5A7ACBCE">
      <w:pPr>
        <w:pStyle w:val="84"/>
        <w:spacing w:line="360" w:lineRule="auto"/>
        <w:ind w:firstLine="420" w:firstLineChars="200"/>
        <w:rPr>
          <w:rFonts w:hint="eastAsia" w:ascii="宋体" w:hAnsi="宋体" w:eastAsia="宋体" w:cs="宋体"/>
          <w:strike/>
          <w:color w:val="auto"/>
          <w:highlight w:val="none"/>
        </w:rPr>
      </w:pPr>
      <w:bookmarkStart w:id="162" w:name="_Toc300678004"/>
      <w:r>
        <w:rPr>
          <w:rFonts w:hint="eastAsia" w:ascii="宋体" w:hAnsi="宋体" w:eastAsia="宋体" w:cs="宋体"/>
          <w:color w:val="auto"/>
          <w:highlight w:val="none"/>
        </w:rPr>
        <w:t>□采用资格预审方式，投标人应是收到招标人发出投标邀请书的单位。</w:t>
      </w:r>
      <w:bookmarkEnd w:id="162"/>
    </w:p>
    <w:p w14:paraId="4D980973">
      <w:pPr>
        <w:pStyle w:val="10"/>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color w:val="auto"/>
          <w:szCs w:val="21"/>
          <w:highlight w:val="none"/>
          <w:lang w:eastAsia="zh-CN"/>
        </w:rPr>
        <w:t>☑</w:t>
      </w:r>
      <w:r>
        <w:rPr>
          <w:rFonts w:hint="eastAsia" w:ascii="宋体" w:hAnsi="宋体" w:eastAsia="宋体" w:cs="宋体"/>
          <w:b w:val="0"/>
          <w:color w:val="auto"/>
          <w:szCs w:val="21"/>
          <w:highlight w:val="none"/>
        </w:rPr>
        <w:t>采用资格后审方式，</w:t>
      </w:r>
      <w:r>
        <w:rPr>
          <w:rFonts w:hint="eastAsia" w:ascii="宋体" w:hAnsi="宋体" w:eastAsia="宋体" w:cs="宋体"/>
          <w:b w:val="0"/>
          <w:bCs w:val="0"/>
          <w:color w:val="auto"/>
          <w:szCs w:val="21"/>
          <w:highlight w:val="none"/>
        </w:rPr>
        <w:t>投标人资格要求</w:t>
      </w:r>
      <w:bookmarkEnd w:id="161"/>
    </w:p>
    <w:p w14:paraId="209756F3">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1.4.1  投标人应具备承担本项目施工的资质条件：见投标人须知前附表；</w:t>
      </w:r>
    </w:p>
    <w:p w14:paraId="7736F70C">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1.4.2  投标人须知前附表规定接受联合体投标的，除应符合本须知第1.4.1项和投标人须知前附表的要求外，还应遵守以下规定：</w:t>
      </w:r>
    </w:p>
    <w:p w14:paraId="3140376A">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（1）联合体各方应按招标文件提供的格式签订</w:t>
      </w:r>
      <w:r>
        <w:rPr>
          <w:rFonts w:hint="eastAsia" w:ascii="宋体" w:hAnsi="宋体" w:eastAsia="宋体" w:cs="宋体"/>
          <w:bCs/>
          <w:color w:val="auto"/>
          <w:highlight w:val="none"/>
          <w:lang w:eastAsia="zh-CN"/>
        </w:rPr>
        <w:t>共同投标协议</w:t>
      </w:r>
      <w:r>
        <w:rPr>
          <w:rFonts w:hint="eastAsia" w:ascii="宋体" w:hAnsi="宋体" w:eastAsia="宋体" w:cs="宋体"/>
          <w:bCs/>
          <w:color w:val="auto"/>
          <w:highlight w:val="none"/>
        </w:rPr>
        <w:t>，明确联合体牵头人和各方权利义务；</w:t>
      </w:r>
    </w:p>
    <w:p w14:paraId="29B77F22">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（2）由同一专业的单位组成的联合体，按照资质等级较低的单位确定资质等级；</w:t>
      </w:r>
    </w:p>
    <w:p w14:paraId="1538D73F">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（3）联合体各方不得再以自己名义单独或参加其他联合体在同一标段中投标。</w:t>
      </w:r>
    </w:p>
    <w:p w14:paraId="49F67AD1">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1.4.3 投标人不得存在下列情形之一：</w:t>
      </w:r>
    </w:p>
    <w:p w14:paraId="5DA4738F">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（l）为招标人的不具有独立法人资格的附属机构（单位）；</w:t>
      </w:r>
    </w:p>
    <w:p w14:paraId="0AFB90CC">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（2）为本招标项目前期准备提供设计或咨询服务的；</w:t>
      </w:r>
    </w:p>
    <w:p w14:paraId="2DF5ECDD">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（3）为本招标项目的监理人；</w:t>
      </w:r>
    </w:p>
    <w:p w14:paraId="0F5F204B">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（4）为本招标项目的代建人；</w:t>
      </w:r>
    </w:p>
    <w:p w14:paraId="78C9A821">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（5）为本招标项目的招标代理机构；</w:t>
      </w:r>
    </w:p>
    <w:p w14:paraId="5110E2F4">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（6）与本招标项目的监理人或代建人或招标代理机构同为一个法定代表人的；</w:t>
      </w:r>
    </w:p>
    <w:p w14:paraId="5A228152">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（7）与本招标项目的监理人或代建人或招标代理机构相互控股或参股的；</w:t>
      </w:r>
    </w:p>
    <w:p w14:paraId="68E99F08">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（8）与本招标项目的监理人或代建人或招标代理机构相互任职或工作的；</w:t>
      </w:r>
    </w:p>
    <w:p w14:paraId="5BD0833B">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（9）被责令停业的；</w:t>
      </w:r>
    </w:p>
    <w:p w14:paraId="462009CA">
      <w:pPr>
        <w:pStyle w:val="84"/>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（10）被住房城乡建设主管部门取消参加本地区依法必须招标项目投标资格的；</w:t>
      </w:r>
    </w:p>
    <w:p w14:paraId="24F8EE86">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（11）与招标人存在利害关系可能影响招标公正性的法人、其他组织或者个人；</w:t>
      </w:r>
    </w:p>
    <w:p w14:paraId="0105ABE1">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（12）单位负责人为同一人或者存在控股、管理关系的不同单位参加同一标段或者未划分标段的同一招标项目投标的；</w:t>
      </w:r>
    </w:p>
    <w:p w14:paraId="15AC028A">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szCs w:val="21"/>
          <w:highlight w:val="none"/>
        </w:rPr>
        <w:t>（13）</w:t>
      </w:r>
      <w:r>
        <w:rPr>
          <w:rFonts w:hint="eastAsia" w:ascii="宋体" w:hAnsi="宋体" w:eastAsia="宋体" w:cs="宋体"/>
          <w:bCs/>
          <w:color w:val="auto"/>
          <w:highlight w:val="none"/>
        </w:rPr>
        <w:t>法律、法规规定的其他情形。</w:t>
      </w:r>
    </w:p>
    <w:p w14:paraId="3C9228F4">
      <w:pPr>
        <w:pStyle w:val="10"/>
        <w:rPr>
          <w:rFonts w:hint="eastAsia" w:ascii="宋体" w:hAnsi="宋体" w:eastAsia="宋体" w:cs="宋体"/>
          <w:b w:val="0"/>
          <w:bCs w:val="0"/>
          <w:color w:val="auto"/>
          <w:sz w:val="24"/>
          <w:highlight w:val="none"/>
        </w:rPr>
      </w:pPr>
      <w:bookmarkStart w:id="163" w:name="_Toc300678005"/>
      <w:r>
        <w:rPr>
          <w:rFonts w:hint="eastAsia" w:ascii="宋体" w:hAnsi="宋体" w:eastAsia="宋体" w:cs="宋体"/>
          <w:b w:val="0"/>
          <w:bCs w:val="0"/>
          <w:color w:val="auto"/>
          <w:sz w:val="24"/>
          <w:highlight w:val="none"/>
        </w:rPr>
        <w:t>1.5 费用承担</w:t>
      </w:r>
      <w:bookmarkEnd w:id="163"/>
    </w:p>
    <w:p w14:paraId="2A96FC1D">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投标人准备和参加投标活动发生的费用自理。</w:t>
      </w:r>
    </w:p>
    <w:p w14:paraId="12639D38">
      <w:pPr>
        <w:pStyle w:val="10"/>
        <w:rPr>
          <w:rFonts w:hint="eastAsia" w:ascii="宋体" w:hAnsi="宋体" w:eastAsia="宋体" w:cs="宋体"/>
          <w:b w:val="0"/>
          <w:bCs w:val="0"/>
          <w:color w:val="auto"/>
          <w:sz w:val="24"/>
          <w:highlight w:val="none"/>
        </w:rPr>
      </w:pPr>
      <w:bookmarkStart w:id="164" w:name="_Toc300678006"/>
      <w:r>
        <w:rPr>
          <w:rFonts w:hint="eastAsia" w:ascii="宋体" w:hAnsi="宋体" w:eastAsia="宋体" w:cs="宋体"/>
          <w:b w:val="0"/>
          <w:bCs w:val="0"/>
          <w:color w:val="auto"/>
          <w:sz w:val="24"/>
          <w:highlight w:val="none"/>
        </w:rPr>
        <w:t>1.6 保密</w:t>
      </w:r>
      <w:bookmarkEnd w:id="164"/>
    </w:p>
    <w:p w14:paraId="7D6CEFBB">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参与招标投标活动的各方应对招标文件和投标文件中的商业和技术等秘密保密，违者应对由此造成的后果承担法律责任。</w:t>
      </w:r>
    </w:p>
    <w:p w14:paraId="38B2279C">
      <w:pPr>
        <w:pStyle w:val="10"/>
        <w:rPr>
          <w:rFonts w:hint="eastAsia" w:ascii="宋体" w:hAnsi="宋体" w:eastAsia="宋体" w:cs="宋体"/>
          <w:b w:val="0"/>
          <w:bCs w:val="0"/>
          <w:color w:val="auto"/>
          <w:sz w:val="24"/>
          <w:highlight w:val="none"/>
        </w:rPr>
      </w:pPr>
      <w:bookmarkStart w:id="165" w:name="_Toc300678007"/>
      <w:r>
        <w:rPr>
          <w:rFonts w:hint="eastAsia" w:ascii="宋体" w:hAnsi="宋体" w:eastAsia="宋体" w:cs="宋体"/>
          <w:b w:val="0"/>
          <w:bCs w:val="0"/>
          <w:color w:val="auto"/>
          <w:sz w:val="24"/>
          <w:highlight w:val="none"/>
        </w:rPr>
        <w:t>1.7 语言文字</w:t>
      </w:r>
      <w:bookmarkEnd w:id="165"/>
    </w:p>
    <w:p w14:paraId="6B92AF16">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除专用术语外，与招标投标有关的语言均使用中文。必要时专用术语应附有中文注释。</w:t>
      </w:r>
    </w:p>
    <w:p w14:paraId="1A23B2CF">
      <w:pPr>
        <w:pStyle w:val="10"/>
        <w:rPr>
          <w:rFonts w:hint="eastAsia" w:ascii="宋体" w:hAnsi="宋体" w:eastAsia="宋体" w:cs="宋体"/>
          <w:b w:val="0"/>
          <w:bCs w:val="0"/>
          <w:color w:val="auto"/>
          <w:sz w:val="24"/>
          <w:highlight w:val="none"/>
        </w:rPr>
      </w:pPr>
      <w:bookmarkStart w:id="166" w:name="_Toc300678008"/>
      <w:r>
        <w:rPr>
          <w:rFonts w:hint="eastAsia" w:ascii="宋体" w:hAnsi="宋体" w:eastAsia="宋体" w:cs="宋体"/>
          <w:b w:val="0"/>
          <w:bCs w:val="0"/>
          <w:color w:val="auto"/>
          <w:sz w:val="24"/>
          <w:highlight w:val="none"/>
        </w:rPr>
        <w:t>1.8 计量单位</w:t>
      </w:r>
      <w:bookmarkEnd w:id="166"/>
    </w:p>
    <w:p w14:paraId="410DDA12">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所有计量均采用中华人民共和国法定计量单位。</w:t>
      </w:r>
    </w:p>
    <w:p w14:paraId="55205DD1">
      <w:pPr>
        <w:pStyle w:val="10"/>
        <w:rPr>
          <w:rFonts w:hint="eastAsia" w:ascii="宋体" w:hAnsi="宋体" w:eastAsia="宋体" w:cs="宋体"/>
          <w:b w:val="0"/>
          <w:bCs w:val="0"/>
          <w:color w:val="auto"/>
          <w:sz w:val="24"/>
          <w:highlight w:val="none"/>
        </w:rPr>
      </w:pPr>
      <w:bookmarkStart w:id="167" w:name="_Toc300678009"/>
      <w:r>
        <w:rPr>
          <w:rFonts w:hint="eastAsia" w:ascii="宋体" w:hAnsi="宋体" w:eastAsia="宋体" w:cs="宋体"/>
          <w:b w:val="0"/>
          <w:bCs w:val="0"/>
          <w:color w:val="auto"/>
          <w:sz w:val="24"/>
          <w:highlight w:val="none"/>
        </w:rPr>
        <w:t>1.9 踏勘现场</w:t>
      </w:r>
      <w:bookmarkEnd w:id="167"/>
    </w:p>
    <w:p w14:paraId="2DDCDFF5">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1.9.1  按投标人须知前附表的规定执行。</w:t>
      </w:r>
    </w:p>
    <w:p w14:paraId="12B3934B">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1.9.2  投标人踏勘现场发生的费用自理。</w:t>
      </w:r>
    </w:p>
    <w:p w14:paraId="2ED1D8FF">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1.9.3  除招标人的原因外，投标人自行负责在踏勘现场中所发生的人员伤亡和财产损失。</w:t>
      </w:r>
    </w:p>
    <w:p w14:paraId="2C311512">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1.9.4  招标人在踏勘现场有关工程场地和相关环境等情况的介绍，供投标人参考。投标人对自身的判断和决策负责。</w:t>
      </w:r>
    </w:p>
    <w:p w14:paraId="5967F688">
      <w:pPr>
        <w:pStyle w:val="10"/>
        <w:rPr>
          <w:rFonts w:hint="eastAsia" w:ascii="宋体" w:hAnsi="宋体" w:eastAsia="宋体" w:cs="宋体"/>
          <w:b w:val="0"/>
          <w:bCs w:val="0"/>
          <w:color w:val="auto"/>
          <w:sz w:val="24"/>
          <w:highlight w:val="none"/>
        </w:rPr>
      </w:pPr>
      <w:bookmarkStart w:id="168" w:name="_Toc300678011"/>
      <w:r>
        <w:rPr>
          <w:rFonts w:hint="eastAsia" w:ascii="宋体" w:hAnsi="宋体" w:eastAsia="宋体" w:cs="宋体"/>
          <w:b w:val="0"/>
          <w:bCs w:val="0"/>
          <w:color w:val="auto"/>
          <w:sz w:val="24"/>
          <w:highlight w:val="none"/>
        </w:rPr>
        <w:t>1.10 分包</w:t>
      </w:r>
      <w:bookmarkEnd w:id="168"/>
    </w:p>
    <w:p w14:paraId="00693344">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投标人拟在中标后将中标项目的部分非主体、非关键性工作进行分包的，应符合投标人须知前附表规定的分包内容、分包金额和接受分包的第三人资质要求等限制性条件。</w:t>
      </w:r>
    </w:p>
    <w:p w14:paraId="07246C6E">
      <w:pPr>
        <w:pStyle w:val="10"/>
        <w:rPr>
          <w:rFonts w:hint="eastAsia" w:ascii="宋体" w:hAnsi="宋体" w:eastAsia="宋体" w:cs="宋体"/>
          <w:b w:val="0"/>
          <w:bCs w:val="0"/>
          <w:color w:val="auto"/>
          <w:sz w:val="24"/>
          <w:highlight w:val="none"/>
        </w:rPr>
      </w:pPr>
      <w:bookmarkStart w:id="169" w:name="_Toc300678012"/>
      <w:r>
        <w:rPr>
          <w:rFonts w:hint="eastAsia" w:ascii="宋体" w:hAnsi="宋体" w:eastAsia="宋体" w:cs="宋体"/>
          <w:b w:val="0"/>
          <w:bCs w:val="0"/>
          <w:color w:val="auto"/>
          <w:sz w:val="24"/>
          <w:highlight w:val="none"/>
        </w:rPr>
        <w:t>1.11 偏离</w:t>
      </w:r>
      <w:bookmarkEnd w:id="169"/>
    </w:p>
    <w:p w14:paraId="1335FDF0">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投标人须知前附表允许投标文件偏离招标文件某些要求的，偏离应当符合招标文件规定的偏离范围和幅度。</w:t>
      </w:r>
    </w:p>
    <w:p w14:paraId="0F79BF03">
      <w:pPr>
        <w:pStyle w:val="8"/>
        <w:spacing w:before="0" w:after="0" w:line="360" w:lineRule="auto"/>
        <w:rPr>
          <w:rFonts w:hint="eastAsia" w:ascii="宋体" w:hAnsi="宋体" w:eastAsia="宋体" w:cs="宋体"/>
          <w:b w:val="0"/>
          <w:bCs w:val="0"/>
          <w:color w:val="auto"/>
          <w:sz w:val="30"/>
          <w:highlight w:val="none"/>
        </w:rPr>
      </w:pPr>
      <w:bookmarkStart w:id="170" w:name="_Toc18275"/>
      <w:bookmarkStart w:id="171" w:name="_Toc15946"/>
      <w:bookmarkStart w:id="172" w:name="_Toc300678013"/>
      <w:bookmarkStart w:id="173" w:name="_Toc1237"/>
      <w:bookmarkStart w:id="174" w:name="_Toc80006090"/>
      <w:bookmarkStart w:id="175" w:name="_Toc9178519"/>
      <w:bookmarkStart w:id="176" w:name="_Toc80006200"/>
      <w:bookmarkStart w:id="177" w:name="_Toc24813"/>
      <w:bookmarkStart w:id="178" w:name="_Toc23050"/>
      <w:r>
        <w:rPr>
          <w:rFonts w:hint="eastAsia" w:ascii="宋体" w:hAnsi="宋体" w:eastAsia="宋体" w:cs="宋体"/>
          <w:b w:val="0"/>
          <w:bCs w:val="0"/>
          <w:color w:val="auto"/>
          <w:sz w:val="30"/>
          <w:highlight w:val="none"/>
        </w:rPr>
        <w:t>2.招标文件</w:t>
      </w:r>
      <w:bookmarkEnd w:id="170"/>
      <w:bookmarkEnd w:id="171"/>
      <w:bookmarkEnd w:id="172"/>
      <w:bookmarkEnd w:id="173"/>
      <w:bookmarkEnd w:id="174"/>
      <w:bookmarkEnd w:id="175"/>
      <w:bookmarkEnd w:id="176"/>
      <w:bookmarkEnd w:id="177"/>
      <w:bookmarkEnd w:id="178"/>
    </w:p>
    <w:p w14:paraId="3E03D20B">
      <w:pPr>
        <w:pStyle w:val="10"/>
        <w:rPr>
          <w:rFonts w:hint="eastAsia" w:ascii="宋体" w:hAnsi="宋体" w:eastAsia="宋体" w:cs="宋体"/>
          <w:b w:val="0"/>
          <w:bCs w:val="0"/>
          <w:color w:val="auto"/>
          <w:sz w:val="24"/>
          <w:highlight w:val="none"/>
        </w:rPr>
      </w:pPr>
      <w:bookmarkStart w:id="179" w:name="_Toc300678014"/>
      <w:r>
        <w:rPr>
          <w:rFonts w:hint="eastAsia" w:ascii="宋体" w:hAnsi="宋体" w:eastAsia="宋体" w:cs="宋体"/>
          <w:b w:val="0"/>
          <w:bCs w:val="0"/>
          <w:color w:val="auto"/>
          <w:sz w:val="24"/>
          <w:highlight w:val="none"/>
        </w:rPr>
        <w:t>2.1 招标文件的组成</w:t>
      </w:r>
      <w:bookmarkEnd w:id="179"/>
    </w:p>
    <w:p w14:paraId="44A735BC">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本招标文件包括：</w:t>
      </w:r>
    </w:p>
    <w:p w14:paraId="10454FE8">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（1）招标公告（或投标邀请书）； </w:t>
      </w:r>
    </w:p>
    <w:p w14:paraId="40E84101">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（2）投标人须知；</w:t>
      </w:r>
    </w:p>
    <w:p w14:paraId="0EC7D189">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（3）评标办法；</w:t>
      </w:r>
    </w:p>
    <w:p w14:paraId="0D5A62B7">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（4）合同条款及格式；</w:t>
      </w:r>
    </w:p>
    <w:p w14:paraId="327BC059">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（5）工程量清单；</w:t>
      </w:r>
    </w:p>
    <w:p w14:paraId="6557373C">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（6）图纸；</w:t>
      </w:r>
    </w:p>
    <w:p w14:paraId="457319C4">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（7）技术标准和要求；</w:t>
      </w:r>
    </w:p>
    <w:p w14:paraId="1192CC0F">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（8）投标文件格式；</w:t>
      </w:r>
    </w:p>
    <w:p w14:paraId="104E450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（9）投标人须知前附表规定的其他材料。</w:t>
      </w:r>
    </w:p>
    <w:p w14:paraId="68F66422">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根据本须知第2.2 项对招标文件所作的澄清和修改，构成招标文件的组成部分。</w:t>
      </w:r>
    </w:p>
    <w:p w14:paraId="73D85BC2">
      <w:pPr>
        <w:pStyle w:val="10"/>
        <w:rPr>
          <w:rFonts w:hint="eastAsia" w:ascii="宋体" w:hAnsi="宋体" w:eastAsia="宋体" w:cs="宋体"/>
          <w:b w:val="0"/>
          <w:bCs w:val="0"/>
          <w:color w:val="auto"/>
          <w:sz w:val="24"/>
          <w:highlight w:val="none"/>
        </w:rPr>
      </w:pPr>
      <w:bookmarkStart w:id="180" w:name="_Toc300678015"/>
      <w:r>
        <w:rPr>
          <w:rFonts w:hint="eastAsia" w:ascii="宋体" w:hAnsi="宋体" w:eastAsia="宋体" w:cs="宋体"/>
          <w:b w:val="0"/>
          <w:bCs w:val="0"/>
          <w:color w:val="auto"/>
          <w:sz w:val="24"/>
          <w:highlight w:val="none"/>
        </w:rPr>
        <w:t>2.2 招标文件的澄清</w:t>
      </w:r>
      <w:bookmarkEnd w:id="180"/>
      <w:r>
        <w:rPr>
          <w:rFonts w:hint="eastAsia" w:ascii="宋体" w:hAnsi="宋体" w:eastAsia="宋体" w:cs="宋体"/>
          <w:b w:val="0"/>
          <w:bCs w:val="0"/>
          <w:color w:val="auto"/>
          <w:sz w:val="24"/>
          <w:highlight w:val="none"/>
        </w:rPr>
        <w:t>和修改</w:t>
      </w:r>
    </w:p>
    <w:p w14:paraId="4921DA4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2.2.1  投标人应仔细阅读和检查招标文件的全部内容。如有疑问，应当在投标人须知前附表规定的时间之前，按照规定的方式，要求招标人澄清。</w:t>
      </w:r>
    </w:p>
    <w:p w14:paraId="1FBCDDBA">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2.2.2  招标文件的澄清或者修改的内容可能影响投标文件编制的，由招标人在投标人须知前附表规定的投标截止时间至少</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日前，在投标人须知前附表规定的媒介发布；</w:t>
      </w:r>
      <w:r>
        <w:rPr>
          <w:rFonts w:hint="eastAsia" w:ascii="宋体" w:hAnsi="宋体" w:eastAsia="宋体" w:cs="宋体"/>
          <w:color w:val="auto"/>
          <w:szCs w:val="20"/>
          <w:highlight w:val="none"/>
        </w:rPr>
        <w:t>不足</w:t>
      </w:r>
      <w:r>
        <w:rPr>
          <w:rFonts w:hint="eastAsia" w:ascii="宋体" w:hAnsi="宋体" w:eastAsia="宋体" w:cs="宋体"/>
          <w:color w:val="auto"/>
          <w:szCs w:val="20"/>
          <w:highlight w:val="none"/>
          <w:lang w:val="en-US" w:eastAsia="zh-CN"/>
        </w:rPr>
        <w:t>3</w:t>
      </w:r>
      <w:r>
        <w:rPr>
          <w:rFonts w:hint="eastAsia" w:ascii="宋体" w:hAnsi="宋体" w:eastAsia="宋体" w:cs="宋体"/>
          <w:color w:val="auto"/>
          <w:szCs w:val="20"/>
          <w:highlight w:val="none"/>
        </w:rPr>
        <w:t>日</w:t>
      </w:r>
      <w:r>
        <w:rPr>
          <w:rFonts w:hint="eastAsia" w:ascii="宋体" w:hAnsi="宋体" w:eastAsia="宋体" w:cs="宋体"/>
          <w:color w:val="auto"/>
          <w:highlight w:val="none"/>
        </w:rPr>
        <w:t>，相应</w:t>
      </w:r>
      <w:r>
        <w:rPr>
          <w:rFonts w:hint="eastAsia" w:ascii="宋体" w:hAnsi="宋体" w:eastAsia="宋体" w:cs="宋体"/>
          <w:color w:val="auto"/>
          <w:szCs w:val="20"/>
          <w:highlight w:val="none"/>
        </w:rPr>
        <w:t>顺延</w:t>
      </w:r>
      <w:r>
        <w:rPr>
          <w:rFonts w:hint="eastAsia" w:ascii="宋体" w:hAnsi="宋体" w:eastAsia="宋体" w:cs="宋体"/>
          <w:color w:val="auto"/>
          <w:highlight w:val="none"/>
        </w:rPr>
        <w:t>投标截止时间。</w:t>
      </w:r>
    </w:p>
    <w:p w14:paraId="164EFD8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2.2.3招标文件澄清或者修改的内容由投标人在投标人须知前附表规定的媒介上自行查阅。</w:t>
      </w:r>
    </w:p>
    <w:p w14:paraId="598839E2">
      <w:pPr>
        <w:pStyle w:val="8"/>
        <w:spacing w:before="0" w:after="0" w:line="360" w:lineRule="auto"/>
        <w:rPr>
          <w:rFonts w:hint="eastAsia" w:ascii="宋体" w:hAnsi="宋体" w:eastAsia="宋体" w:cs="宋体"/>
          <w:b w:val="0"/>
          <w:bCs w:val="0"/>
          <w:color w:val="auto"/>
          <w:sz w:val="30"/>
          <w:highlight w:val="none"/>
        </w:rPr>
      </w:pPr>
      <w:bookmarkStart w:id="181" w:name="_Toc15077"/>
      <w:bookmarkStart w:id="182" w:name="_Toc80006201"/>
      <w:bookmarkStart w:id="183" w:name="_Toc15965"/>
      <w:bookmarkStart w:id="184" w:name="_Toc9178520"/>
      <w:bookmarkStart w:id="185" w:name="_Toc32003"/>
      <w:bookmarkStart w:id="186" w:name="_Toc4853"/>
      <w:bookmarkStart w:id="187" w:name="_Toc300678017"/>
      <w:bookmarkStart w:id="188" w:name="_Toc30656"/>
      <w:bookmarkStart w:id="189" w:name="_Toc80006091"/>
      <w:r>
        <w:rPr>
          <w:rFonts w:hint="eastAsia" w:ascii="宋体" w:hAnsi="宋体" w:eastAsia="宋体" w:cs="宋体"/>
          <w:b w:val="0"/>
          <w:bCs w:val="0"/>
          <w:color w:val="auto"/>
          <w:sz w:val="30"/>
          <w:highlight w:val="none"/>
        </w:rPr>
        <w:t>3.投标文件</w:t>
      </w:r>
      <w:bookmarkEnd w:id="181"/>
      <w:bookmarkEnd w:id="182"/>
      <w:bookmarkEnd w:id="183"/>
      <w:bookmarkEnd w:id="184"/>
      <w:bookmarkEnd w:id="185"/>
      <w:bookmarkEnd w:id="186"/>
      <w:bookmarkEnd w:id="187"/>
      <w:bookmarkEnd w:id="188"/>
      <w:bookmarkEnd w:id="189"/>
    </w:p>
    <w:p w14:paraId="00E770E6">
      <w:pPr>
        <w:pStyle w:val="10"/>
        <w:rPr>
          <w:rFonts w:hint="eastAsia" w:ascii="宋体" w:hAnsi="宋体" w:eastAsia="宋体" w:cs="宋体"/>
          <w:b w:val="0"/>
          <w:bCs w:val="0"/>
          <w:color w:val="auto"/>
          <w:sz w:val="24"/>
          <w:highlight w:val="none"/>
        </w:rPr>
      </w:pPr>
      <w:bookmarkStart w:id="190" w:name="_Toc300678018"/>
      <w:r>
        <w:rPr>
          <w:rFonts w:hint="eastAsia" w:ascii="宋体" w:hAnsi="宋体" w:eastAsia="宋体" w:cs="宋体"/>
          <w:b w:val="0"/>
          <w:bCs w:val="0"/>
          <w:color w:val="auto"/>
          <w:sz w:val="24"/>
          <w:highlight w:val="none"/>
        </w:rPr>
        <w:t>3.1 投标文件的组成</w:t>
      </w:r>
      <w:bookmarkEnd w:id="190"/>
    </w:p>
    <w:p w14:paraId="09F50486">
      <w:pPr>
        <w:pStyle w:val="84"/>
        <w:widowControl w:val="0"/>
        <w:spacing w:line="360" w:lineRule="auto"/>
        <w:ind w:firstLine="420" w:firstLineChars="200"/>
        <w:rPr>
          <w:rFonts w:hint="eastAsia" w:ascii="宋体" w:hAnsi="宋体" w:eastAsia="宋体" w:cs="宋体"/>
          <w:color w:val="auto"/>
          <w:kern w:val="0"/>
          <w:highlight w:val="none"/>
        </w:rPr>
      </w:pPr>
      <w:r>
        <w:rPr>
          <w:rFonts w:hint="eastAsia" w:ascii="宋体" w:hAnsi="宋体" w:eastAsia="宋体" w:cs="宋体"/>
          <w:color w:val="auto"/>
          <w:highlight w:val="none"/>
        </w:rPr>
        <w:t>3.1.1  投标文件由投标函</w:t>
      </w:r>
      <w:r>
        <w:rPr>
          <w:rFonts w:hint="eastAsia" w:ascii="宋体" w:hAnsi="宋体" w:eastAsia="宋体" w:cs="宋体"/>
          <w:color w:val="auto"/>
          <w:highlight w:val="none"/>
          <w:lang w:val="en-US" w:eastAsia="zh-CN"/>
        </w:rPr>
        <w:t>及附录</w:t>
      </w:r>
      <w:r>
        <w:rPr>
          <w:rFonts w:hint="eastAsia" w:ascii="宋体" w:hAnsi="宋体" w:eastAsia="宋体" w:cs="宋体"/>
          <w:color w:val="auto"/>
          <w:highlight w:val="none"/>
        </w:rPr>
        <w:t>、投标报价、施工组织设计三部分内容以及投标人须知前附表规定的其他资料组成，具体内容详见第八章投标文件格式。</w:t>
      </w:r>
    </w:p>
    <w:p w14:paraId="5C88BA5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3.1.2  投标人须知前附表规定不接受联合体投标的，或投标人没有组成联合体的，投标文件不包括</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w:t>
      </w:r>
    </w:p>
    <w:p w14:paraId="28BB932C">
      <w:pPr>
        <w:pStyle w:val="10"/>
        <w:rPr>
          <w:rFonts w:hint="eastAsia" w:ascii="宋体" w:hAnsi="宋体" w:eastAsia="宋体" w:cs="宋体"/>
          <w:b w:val="0"/>
          <w:bCs w:val="0"/>
          <w:color w:val="auto"/>
          <w:sz w:val="24"/>
          <w:highlight w:val="none"/>
        </w:rPr>
      </w:pPr>
      <w:bookmarkStart w:id="191" w:name="_Toc300678019"/>
      <w:r>
        <w:rPr>
          <w:rFonts w:hint="eastAsia" w:ascii="宋体" w:hAnsi="宋体" w:eastAsia="宋体" w:cs="宋体"/>
          <w:b w:val="0"/>
          <w:bCs w:val="0"/>
          <w:color w:val="auto"/>
          <w:sz w:val="24"/>
          <w:highlight w:val="none"/>
        </w:rPr>
        <w:t>3.2 投标报价</w:t>
      </w:r>
      <w:bookmarkEnd w:id="191"/>
    </w:p>
    <w:p w14:paraId="44DFBD17">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3.2.1  投标人应按第五章“工程量清单”的要求填写相应表格。</w:t>
      </w:r>
    </w:p>
    <w:p w14:paraId="514C1AA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3.2.2  投标人在投标截止时间前修改投标函中的投标总报价，应同时修改其按第五章“工程量清单”要求填写的相应表格中的报价。此修改应当符合本须知第4.3 项的有关要求。</w:t>
      </w:r>
    </w:p>
    <w:p w14:paraId="0135070E">
      <w:pPr>
        <w:pStyle w:val="10"/>
        <w:rPr>
          <w:rFonts w:hint="eastAsia" w:ascii="宋体" w:hAnsi="宋体" w:eastAsia="宋体" w:cs="宋体"/>
          <w:b w:val="0"/>
          <w:bCs w:val="0"/>
          <w:color w:val="auto"/>
          <w:sz w:val="24"/>
          <w:highlight w:val="none"/>
        </w:rPr>
      </w:pPr>
      <w:bookmarkStart w:id="192" w:name="_Toc300678020"/>
      <w:r>
        <w:rPr>
          <w:rFonts w:hint="eastAsia" w:ascii="宋体" w:hAnsi="宋体" w:eastAsia="宋体" w:cs="宋体"/>
          <w:b w:val="0"/>
          <w:bCs w:val="0"/>
          <w:color w:val="auto"/>
          <w:sz w:val="24"/>
          <w:highlight w:val="none"/>
        </w:rPr>
        <w:t>3.3 投标有效期</w:t>
      </w:r>
      <w:bookmarkEnd w:id="192"/>
    </w:p>
    <w:p w14:paraId="2867D16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3.3.1  在投标人须知前附表规定的投标有效期内，投标人不得要求撤销或修改其投标文件。</w:t>
      </w:r>
    </w:p>
    <w:p w14:paraId="5532B99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投标人有权收回其投标保证。</w:t>
      </w:r>
    </w:p>
    <w:p w14:paraId="11612641">
      <w:pPr>
        <w:pStyle w:val="10"/>
        <w:ind w:firstLine="480" w:firstLineChars="200"/>
        <w:rPr>
          <w:rFonts w:hint="eastAsia" w:ascii="宋体" w:hAnsi="宋体" w:eastAsia="宋体" w:cs="宋体"/>
          <w:b w:val="0"/>
          <w:bCs w:val="0"/>
          <w:color w:val="auto"/>
          <w:sz w:val="24"/>
          <w:highlight w:val="none"/>
        </w:rPr>
      </w:pPr>
      <w:bookmarkStart w:id="193" w:name="_Toc300678021"/>
      <w:r>
        <w:rPr>
          <w:rFonts w:hint="eastAsia" w:ascii="宋体" w:hAnsi="宋体" w:eastAsia="宋体" w:cs="宋体"/>
          <w:b w:val="0"/>
          <w:bCs w:val="0"/>
          <w:color w:val="auto"/>
          <w:sz w:val="24"/>
          <w:highlight w:val="none"/>
        </w:rPr>
        <w:t>3.4 投标保证</w:t>
      </w:r>
      <w:bookmarkEnd w:id="193"/>
    </w:p>
    <w:p w14:paraId="4329282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3.4.1 投标人在递交投标文件的同时，应当按照投标人须知前附表的规定递交投标担保，并作为投标文件的组成部分。</w:t>
      </w:r>
    </w:p>
    <w:p w14:paraId="49297AB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3.4.2  投标人不按本须知第3.4.1 项要求提交投标担保的，应当否决其投标。</w:t>
      </w:r>
    </w:p>
    <w:p w14:paraId="11DF70D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3.4.3 </w:t>
      </w:r>
      <w:r>
        <w:rPr>
          <w:rFonts w:hint="eastAsia" w:ascii="宋体" w:hAnsi="宋体" w:eastAsia="宋体" w:cs="宋体"/>
          <w:color w:val="auto"/>
          <w:szCs w:val="32"/>
          <w:highlight w:val="none"/>
          <w:shd w:val="clear" w:color="auto" w:fill="FFFFFF"/>
        </w:rPr>
        <w:t>未中标的投标人的投标担保</w:t>
      </w:r>
      <w:r>
        <w:rPr>
          <w:rFonts w:hint="eastAsia" w:ascii="宋体" w:hAnsi="宋体" w:eastAsia="宋体" w:cs="宋体"/>
          <w:color w:val="auto"/>
          <w:highlight w:val="none"/>
        </w:rPr>
        <w:t>于中标通知书发出之日起5个工作日内退还。</w:t>
      </w:r>
    </w:p>
    <w:p w14:paraId="0699B66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3.4.4 中标人的投标担保在招标人与中标人签订合同后5 个工作日内退还。</w:t>
      </w:r>
    </w:p>
    <w:p w14:paraId="3CC2309C">
      <w:pPr>
        <w:pStyle w:val="84"/>
        <w:widowControl w:val="0"/>
        <w:spacing w:line="360" w:lineRule="auto"/>
        <w:ind w:firstLine="420"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highlight w:val="none"/>
        </w:rPr>
        <w:t>3.4.5</w:t>
      </w:r>
      <w:r>
        <w:rPr>
          <w:rFonts w:hint="eastAsia" w:ascii="宋体" w:hAnsi="宋体" w:eastAsia="宋体" w:cs="宋体"/>
          <w:color w:val="auto"/>
          <w:szCs w:val="32"/>
          <w:highlight w:val="none"/>
          <w:shd w:val="clear" w:color="auto" w:fill="FFFFFF"/>
        </w:rPr>
        <w:t>在投标截止时间前撤回已提交的投标文件的投标人的投标担保，自收到投标人书面撤回通知之日起5个工作日内退还；</w:t>
      </w:r>
    </w:p>
    <w:p w14:paraId="2F2CF0F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32"/>
          <w:highlight w:val="none"/>
          <w:shd w:val="clear" w:color="auto" w:fill="FFFFFF"/>
        </w:rPr>
        <w:t>3.4.6 不接受招标人延长投标有效期的投标人的投标担保，自收到投标人不予接受延长投标有效期的书面通知之日起5个工作日内退还。</w:t>
      </w:r>
      <w:r>
        <w:rPr>
          <w:rFonts w:hint="eastAsia" w:ascii="宋体" w:hAnsi="宋体" w:eastAsia="宋体" w:cs="宋体"/>
          <w:color w:val="auto"/>
          <w:highlight w:val="none"/>
        </w:rPr>
        <w:t xml:space="preserve">   </w:t>
      </w:r>
    </w:p>
    <w:p w14:paraId="24E9F287">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3.4.7 有下列情形之一的，将对投标人以现金形式提交的投标担保不予退还；采用投标承诺的，将提请住房城乡建设主管部门给予投标人不良行为记录；采用保函的，将要求保函开立人支付经济补偿金。</w:t>
      </w:r>
    </w:p>
    <w:p w14:paraId="34959F1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（1）投标人在规定的投标有效期内撤销或修改其投标文件；</w:t>
      </w:r>
    </w:p>
    <w:p w14:paraId="1363FD42">
      <w:pPr>
        <w:pStyle w:val="84"/>
        <w:widowControl w:val="0"/>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（2）投标人被确定为中标人后，无正当理由不与招标人订立合同，或者在签订合同时向招标人提出附加条件，或者不按招标文件要求提交履约担保。</w:t>
      </w:r>
    </w:p>
    <w:p w14:paraId="5BF8C16F">
      <w:pPr>
        <w:pStyle w:val="10"/>
        <w:rPr>
          <w:rFonts w:hint="eastAsia" w:ascii="宋体" w:hAnsi="宋体" w:eastAsia="宋体" w:cs="宋体"/>
          <w:b w:val="0"/>
          <w:bCs w:val="0"/>
          <w:color w:val="auto"/>
          <w:sz w:val="24"/>
          <w:highlight w:val="none"/>
        </w:rPr>
      </w:pPr>
      <w:bookmarkStart w:id="194" w:name="_Toc300678022"/>
      <w:r>
        <w:rPr>
          <w:rFonts w:hint="eastAsia" w:ascii="宋体" w:hAnsi="宋体" w:eastAsia="宋体" w:cs="宋体"/>
          <w:b w:val="0"/>
          <w:bCs w:val="0"/>
          <w:color w:val="auto"/>
          <w:sz w:val="24"/>
          <w:highlight w:val="none"/>
        </w:rPr>
        <w:t>3.5资格审查资料</w:t>
      </w:r>
    </w:p>
    <w:bookmarkEnd w:id="194"/>
    <w:p w14:paraId="0A65C2D8">
      <w:pPr>
        <w:pStyle w:val="10"/>
        <w:ind w:firstLine="420" w:firstLineChars="200"/>
        <w:rPr>
          <w:rFonts w:hint="eastAsia" w:ascii="宋体" w:hAnsi="宋体" w:eastAsia="宋体" w:cs="宋体"/>
          <w:b w:val="0"/>
          <w:bCs w:val="0"/>
          <w:color w:val="auto"/>
          <w:highlight w:val="none"/>
        </w:rPr>
      </w:pPr>
      <w:bookmarkStart w:id="195" w:name="_Toc300678023"/>
      <w:r>
        <w:rPr>
          <w:rFonts w:hint="eastAsia" w:ascii="宋体" w:hAnsi="宋体" w:eastAsia="宋体" w:cs="宋体"/>
          <w:b w:val="0"/>
          <w:bCs w:val="0"/>
          <w:color w:val="auto"/>
          <w:szCs w:val="21"/>
          <w:highlight w:val="none"/>
        </w:rPr>
        <w:t>采用资格预审方式的，</w:t>
      </w:r>
      <w:bookmarkEnd w:id="195"/>
      <w:r>
        <w:rPr>
          <w:rFonts w:hint="eastAsia" w:ascii="宋体" w:hAnsi="宋体" w:eastAsia="宋体" w:cs="宋体"/>
          <w:b w:val="0"/>
          <w:bCs w:val="0"/>
          <w:color w:val="auto"/>
          <w:sz w:val="24"/>
          <w:highlight w:val="none"/>
        </w:rPr>
        <w:t xml:space="preserve"> </w:t>
      </w:r>
      <w:r>
        <w:rPr>
          <w:rFonts w:hint="eastAsia" w:ascii="宋体" w:hAnsi="宋体" w:eastAsia="宋体" w:cs="宋体"/>
          <w:b w:val="0"/>
          <w:bCs w:val="0"/>
          <w:color w:val="auto"/>
          <w:highlight w:val="none"/>
        </w:rPr>
        <w:t>投标人在编制投标文件时，应按新情况更新或补充其在申请资格预审时提供的资料，以证实其各项资格条件仍能继续满足资格预审文件的要求，具备承担本招标项目的资质条件、能力和信誉。</w:t>
      </w:r>
    </w:p>
    <w:p w14:paraId="353C0CE1">
      <w:pPr>
        <w:pStyle w:val="10"/>
        <w:ind w:firstLine="42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Cs w:val="21"/>
          <w:highlight w:val="none"/>
        </w:rPr>
        <w:t>采用资格后审方式的，按照本须知第1.4.1项的规定提交资格审查资料，</w:t>
      </w:r>
      <w:r>
        <w:rPr>
          <w:rFonts w:hint="eastAsia" w:ascii="宋体" w:hAnsi="宋体" w:eastAsia="宋体" w:cs="宋体"/>
          <w:b w:val="0"/>
          <w:bCs w:val="0"/>
          <w:color w:val="auto"/>
          <w:highlight w:val="none"/>
        </w:rPr>
        <w:t>具体要求详见第八章“投标文件—投标函格式”。</w:t>
      </w:r>
    </w:p>
    <w:p w14:paraId="1351717A">
      <w:pPr>
        <w:pStyle w:val="1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3.6 备选投标方案</w:t>
      </w:r>
    </w:p>
    <w:p w14:paraId="723ECF2E">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7524B223">
      <w:pPr>
        <w:pStyle w:val="10"/>
        <w:rPr>
          <w:rFonts w:hint="eastAsia" w:ascii="宋体" w:hAnsi="宋体" w:eastAsia="宋体" w:cs="宋体"/>
          <w:b w:val="0"/>
          <w:bCs w:val="0"/>
          <w:color w:val="auto"/>
          <w:sz w:val="24"/>
          <w:highlight w:val="none"/>
        </w:rPr>
      </w:pPr>
      <w:bookmarkStart w:id="196" w:name="_Toc300678025"/>
      <w:r>
        <w:rPr>
          <w:rFonts w:hint="eastAsia" w:ascii="宋体" w:hAnsi="宋体" w:eastAsia="宋体" w:cs="宋体"/>
          <w:b w:val="0"/>
          <w:bCs w:val="0"/>
          <w:color w:val="auto"/>
          <w:sz w:val="24"/>
          <w:highlight w:val="none"/>
        </w:rPr>
        <w:t>3.7 投标文件的编制</w:t>
      </w:r>
      <w:bookmarkEnd w:id="196"/>
    </w:p>
    <w:p w14:paraId="681A69BB">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3.7.1  投标文件应按第八章“投标文件格式”编写。可以增加附页，作为投标文件的组成部分。其中，投标函附录在满足招标文件实质性要求的基础上，可以提出比招标文件要求更有利于招标人的承诺。</w:t>
      </w:r>
    </w:p>
    <w:p w14:paraId="0F16331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3.7.2  投标文件应当对招标文件有关工期、投标有效期、质量要求、技术标准和要求、招标范围等内容作出实质性响应。</w:t>
      </w:r>
    </w:p>
    <w:p w14:paraId="4FE31587">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3.7.3 投标文件应用不褪色的材料书写或打印，并加盖投标人的单位公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签字或盖章的具体要求见投标人须知前附表。</w:t>
      </w:r>
    </w:p>
    <w:p w14:paraId="63DFD50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3.7.4投标文件份数见投标人须知前附表。</w:t>
      </w:r>
    </w:p>
    <w:p w14:paraId="70D65AA6">
      <w:pPr>
        <w:pStyle w:val="8"/>
        <w:spacing w:before="0" w:after="0" w:line="360" w:lineRule="auto"/>
        <w:rPr>
          <w:rFonts w:hint="eastAsia" w:ascii="宋体" w:hAnsi="宋体" w:eastAsia="宋体" w:cs="宋体"/>
          <w:b w:val="0"/>
          <w:bCs w:val="0"/>
          <w:color w:val="auto"/>
          <w:sz w:val="30"/>
          <w:highlight w:val="none"/>
        </w:rPr>
      </w:pPr>
      <w:bookmarkStart w:id="197" w:name="_Toc27661"/>
      <w:bookmarkStart w:id="198" w:name="_Toc11360"/>
      <w:bookmarkStart w:id="199" w:name="_Toc20161"/>
      <w:bookmarkStart w:id="200" w:name="_Toc300678026"/>
      <w:bookmarkStart w:id="201" w:name="_Toc15894"/>
      <w:bookmarkStart w:id="202" w:name="_Toc80006202"/>
      <w:bookmarkStart w:id="203" w:name="_Toc80006092"/>
      <w:bookmarkStart w:id="204" w:name="_Toc9178521"/>
      <w:bookmarkStart w:id="205" w:name="_Toc24694"/>
      <w:r>
        <w:rPr>
          <w:rFonts w:hint="eastAsia" w:ascii="宋体" w:hAnsi="宋体" w:eastAsia="宋体" w:cs="宋体"/>
          <w:b w:val="0"/>
          <w:bCs w:val="0"/>
          <w:color w:val="auto"/>
          <w:sz w:val="30"/>
          <w:highlight w:val="none"/>
        </w:rPr>
        <w:t>4.投标</w:t>
      </w:r>
      <w:bookmarkEnd w:id="197"/>
      <w:bookmarkEnd w:id="198"/>
      <w:bookmarkEnd w:id="199"/>
      <w:bookmarkEnd w:id="200"/>
      <w:bookmarkEnd w:id="201"/>
      <w:bookmarkEnd w:id="202"/>
      <w:bookmarkEnd w:id="203"/>
      <w:bookmarkEnd w:id="204"/>
      <w:bookmarkEnd w:id="205"/>
    </w:p>
    <w:p w14:paraId="04F31C49">
      <w:pPr>
        <w:pStyle w:val="10"/>
        <w:rPr>
          <w:rFonts w:hint="eastAsia" w:ascii="宋体" w:hAnsi="宋体" w:eastAsia="宋体" w:cs="宋体"/>
          <w:b w:val="0"/>
          <w:bCs w:val="0"/>
          <w:color w:val="auto"/>
          <w:sz w:val="24"/>
          <w:highlight w:val="none"/>
        </w:rPr>
      </w:pPr>
      <w:bookmarkStart w:id="206" w:name="_Toc300678027"/>
      <w:r>
        <w:rPr>
          <w:rFonts w:hint="eastAsia" w:ascii="宋体" w:hAnsi="宋体" w:eastAsia="宋体" w:cs="宋体"/>
          <w:b w:val="0"/>
          <w:bCs w:val="0"/>
          <w:color w:val="auto"/>
          <w:sz w:val="24"/>
          <w:highlight w:val="none"/>
        </w:rPr>
        <w:t>4.1 投标文件的密封和标记</w:t>
      </w:r>
      <w:bookmarkEnd w:id="206"/>
    </w:p>
    <w:p w14:paraId="36CCEC6C">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4.1.1 投标文件的密封：投标文件分别包装（☑投标函，正本副本一包，☑投标报价，正本副本一包；</w:t>
      </w:r>
      <w:r>
        <w:rPr>
          <w:rFonts w:hint="eastAsia" w:ascii="宋体" w:hAnsi="宋体" w:eastAsia="宋体" w:cs="宋体"/>
          <w:color w:val="auto"/>
          <w:highlight w:val="none"/>
        </w:rPr>
        <w:sym w:font="Wingdings" w:char="00FE"/>
      </w:r>
      <w:r>
        <w:rPr>
          <w:rFonts w:hint="eastAsia" w:ascii="宋体" w:hAnsi="宋体" w:cs="宋体"/>
          <w:color w:val="auto"/>
          <w:highlight w:val="none"/>
          <w:lang w:eastAsia="zh-CN"/>
        </w:rPr>
        <w:t>施工组织设计，正本副本一包。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当一个外包密封包不能包装好所有的投标函部分、投标报价部分时，可用多个密封包分别包装密封）并密封。</w:t>
      </w:r>
    </w:p>
    <w:p w14:paraId="2053225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4.1.2未按本须知第4.1.1 项要求密封的投标文件，招标人将予以拒收。未按本章第4.1.2 项要求加写标记的投标文件，招标人将不承担投标文件提前开封的责任。</w:t>
      </w:r>
    </w:p>
    <w:p w14:paraId="5D4544FC">
      <w:pPr>
        <w:pStyle w:val="10"/>
        <w:rPr>
          <w:rFonts w:hint="eastAsia" w:ascii="宋体" w:hAnsi="宋体" w:eastAsia="宋体" w:cs="宋体"/>
          <w:b w:val="0"/>
          <w:bCs w:val="0"/>
          <w:color w:val="auto"/>
          <w:sz w:val="24"/>
          <w:highlight w:val="none"/>
        </w:rPr>
      </w:pPr>
      <w:bookmarkStart w:id="207" w:name="_Toc300678028"/>
      <w:r>
        <w:rPr>
          <w:rFonts w:hint="eastAsia" w:ascii="宋体" w:hAnsi="宋体" w:eastAsia="宋体" w:cs="宋体"/>
          <w:b w:val="0"/>
          <w:bCs w:val="0"/>
          <w:color w:val="auto"/>
          <w:sz w:val="24"/>
          <w:highlight w:val="none"/>
        </w:rPr>
        <w:t>4.2 投标文件的递交</w:t>
      </w:r>
      <w:bookmarkEnd w:id="207"/>
    </w:p>
    <w:p w14:paraId="4ECB3862">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4.2.1 投标人应当在投标人须知前附表规定的投标截止时间前递交投标文件。</w:t>
      </w:r>
    </w:p>
    <w:p w14:paraId="74B5E226">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4.2.2投标人递交投标文件的地点：见投标人须知前附表。</w:t>
      </w:r>
    </w:p>
    <w:p w14:paraId="26E6380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4.2.3 除投标人须知前附表另有规定外，投标人所递交的投标文件不予退还。</w:t>
      </w:r>
    </w:p>
    <w:p w14:paraId="21259986">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4.2.4逾期送达的或者未送达指定地点的投标文件，招标人不予受理。</w:t>
      </w:r>
    </w:p>
    <w:p w14:paraId="4CB962EE">
      <w:pPr>
        <w:pStyle w:val="1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4.3 投标文件的修改与撤回</w:t>
      </w:r>
    </w:p>
    <w:p w14:paraId="6D331DDC">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在投标人须知前附表规定的投标截止时间前，投标人可以修改或撤回已递交投标文件。</w:t>
      </w:r>
    </w:p>
    <w:p w14:paraId="67989029">
      <w:pPr>
        <w:pStyle w:val="8"/>
        <w:spacing w:before="0" w:after="0" w:line="360" w:lineRule="auto"/>
        <w:rPr>
          <w:rFonts w:hint="eastAsia" w:ascii="宋体" w:hAnsi="宋体" w:eastAsia="宋体" w:cs="宋体"/>
          <w:b w:val="0"/>
          <w:bCs w:val="0"/>
          <w:color w:val="auto"/>
          <w:sz w:val="30"/>
          <w:highlight w:val="none"/>
        </w:rPr>
      </w:pPr>
      <w:bookmarkStart w:id="208" w:name="_Toc23106"/>
      <w:bookmarkStart w:id="209" w:name="_Toc300678029"/>
      <w:bookmarkStart w:id="210" w:name="_Toc25573"/>
      <w:bookmarkStart w:id="211" w:name="_Toc9178522"/>
      <w:bookmarkStart w:id="212" w:name="_Toc25756"/>
      <w:bookmarkStart w:id="213" w:name="_Toc80006203"/>
      <w:bookmarkStart w:id="214" w:name="_Toc23017"/>
      <w:bookmarkStart w:id="215" w:name="_Toc8492"/>
      <w:bookmarkStart w:id="216" w:name="_Toc80006093"/>
      <w:r>
        <w:rPr>
          <w:rFonts w:hint="eastAsia" w:ascii="宋体" w:hAnsi="宋体" w:eastAsia="宋体" w:cs="宋体"/>
          <w:b w:val="0"/>
          <w:bCs w:val="0"/>
          <w:color w:val="auto"/>
          <w:sz w:val="30"/>
          <w:highlight w:val="none"/>
        </w:rPr>
        <w:t>5.开标</w:t>
      </w:r>
      <w:bookmarkEnd w:id="208"/>
      <w:bookmarkEnd w:id="209"/>
      <w:bookmarkEnd w:id="210"/>
      <w:bookmarkEnd w:id="211"/>
      <w:bookmarkEnd w:id="212"/>
      <w:bookmarkEnd w:id="213"/>
      <w:bookmarkEnd w:id="214"/>
      <w:bookmarkEnd w:id="215"/>
      <w:bookmarkEnd w:id="216"/>
    </w:p>
    <w:p w14:paraId="22E17CB9">
      <w:pPr>
        <w:pStyle w:val="10"/>
        <w:rPr>
          <w:rFonts w:hint="eastAsia" w:ascii="宋体" w:hAnsi="宋体" w:eastAsia="宋体" w:cs="宋体"/>
          <w:b w:val="0"/>
          <w:bCs w:val="0"/>
          <w:color w:val="auto"/>
          <w:sz w:val="24"/>
          <w:highlight w:val="none"/>
        </w:rPr>
      </w:pPr>
      <w:bookmarkStart w:id="217" w:name="_Toc300678030"/>
      <w:r>
        <w:rPr>
          <w:rFonts w:hint="eastAsia" w:ascii="宋体" w:hAnsi="宋体" w:eastAsia="宋体" w:cs="宋体"/>
          <w:b w:val="0"/>
          <w:bCs w:val="0"/>
          <w:color w:val="auto"/>
          <w:sz w:val="24"/>
          <w:highlight w:val="none"/>
        </w:rPr>
        <w:t>5.1 开标时间和地点</w:t>
      </w:r>
      <w:bookmarkEnd w:id="217"/>
    </w:p>
    <w:p w14:paraId="61809A40">
      <w:pPr>
        <w:pStyle w:val="84"/>
        <w:widowControl w:val="0"/>
        <w:spacing w:line="360" w:lineRule="auto"/>
        <w:ind w:firstLine="420" w:firstLineChars="200"/>
        <w:rPr>
          <w:rFonts w:hint="eastAsia" w:ascii="宋体" w:hAnsi="宋体" w:eastAsia="宋体" w:cs="宋体"/>
          <w:strike/>
          <w:color w:val="auto"/>
          <w:highlight w:val="none"/>
        </w:rPr>
      </w:pPr>
      <w:r>
        <w:rPr>
          <w:rFonts w:hint="eastAsia" w:ascii="宋体" w:hAnsi="宋体" w:eastAsia="宋体" w:cs="宋体"/>
          <w:color w:val="auto"/>
          <w:highlight w:val="none"/>
        </w:rPr>
        <w:t>招标人在投标人须知前附表规定的投标截止时间（开标时间）和地点公开开标，所有投标人的法定代表人或其委托代理人应当准时</w:t>
      </w:r>
      <w:r>
        <w:rPr>
          <w:rFonts w:hint="eastAsia" w:ascii="宋体" w:hAnsi="宋体" w:eastAsia="宋体" w:cs="宋体"/>
          <w:color w:val="auto"/>
          <w:highlight w:val="none"/>
          <w:lang w:eastAsia="zh-CN"/>
        </w:rPr>
        <w:t>到场</w:t>
      </w:r>
      <w:r>
        <w:rPr>
          <w:rFonts w:hint="eastAsia" w:ascii="宋体" w:hAnsi="宋体" w:eastAsia="宋体" w:cs="宋体"/>
          <w:color w:val="auto"/>
          <w:highlight w:val="none"/>
        </w:rPr>
        <w:t>参加。</w:t>
      </w:r>
    </w:p>
    <w:p w14:paraId="7EB27A6B">
      <w:pPr>
        <w:pStyle w:val="10"/>
        <w:rPr>
          <w:rFonts w:hint="eastAsia" w:ascii="宋体" w:hAnsi="宋体" w:eastAsia="宋体" w:cs="宋体"/>
          <w:b w:val="0"/>
          <w:bCs w:val="0"/>
          <w:color w:val="auto"/>
          <w:sz w:val="24"/>
          <w:highlight w:val="none"/>
        </w:rPr>
      </w:pPr>
      <w:bookmarkStart w:id="218" w:name="_Toc300678031"/>
      <w:r>
        <w:rPr>
          <w:rFonts w:hint="eastAsia" w:ascii="宋体" w:hAnsi="宋体" w:eastAsia="宋体" w:cs="宋体"/>
          <w:b w:val="0"/>
          <w:bCs w:val="0"/>
          <w:color w:val="auto"/>
          <w:sz w:val="24"/>
          <w:highlight w:val="none"/>
        </w:rPr>
        <w:t>5.2 开标程序</w:t>
      </w:r>
      <w:bookmarkEnd w:id="218"/>
    </w:p>
    <w:p w14:paraId="2843042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5.2.1招标人按下列程序进行开标：</w:t>
      </w:r>
    </w:p>
    <w:p w14:paraId="417DCBC1">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（l）宣布开标纪律；</w:t>
      </w:r>
    </w:p>
    <w:p w14:paraId="5F064FA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（2）公布在投标截止时间前递交投标文件的投标人名称；</w:t>
      </w:r>
    </w:p>
    <w:p w14:paraId="0C19FE68">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（3）宣布开标人、监督人等有关人员姓名；</w:t>
      </w:r>
    </w:p>
    <w:p w14:paraId="305C733B">
      <w:pPr>
        <w:pStyle w:val="84"/>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（4）按照投标人须知前附表规定检查投标文件的密封情况，当众开标，公布投标人名称、标段名称、投标保证的递交情况、投标报价、质量目标、工期及其他内容，并记录在案；</w:t>
      </w:r>
    </w:p>
    <w:p w14:paraId="72405CBA">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（5）由招标人在开标现场随机抽取α</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β</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P值</w:t>
      </w:r>
      <w:r>
        <w:rPr>
          <w:rFonts w:hint="eastAsia" w:ascii="宋体" w:hAnsi="宋体" w:eastAsia="宋体" w:cs="宋体"/>
          <w:color w:val="auto"/>
          <w:highlight w:val="none"/>
        </w:rPr>
        <w:t>并记录在案；</w:t>
      </w:r>
    </w:p>
    <w:p w14:paraId="3FA150C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（6）投标人确认开标结果；</w:t>
      </w:r>
    </w:p>
    <w:p w14:paraId="6B14291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（7）招标人在开标记录上确认；</w:t>
      </w:r>
    </w:p>
    <w:p w14:paraId="4D06964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（8）开标结束。</w:t>
      </w:r>
    </w:p>
    <w:p w14:paraId="6764D918">
      <w:pPr>
        <w:pStyle w:val="8"/>
        <w:spacing w:before="0" w:after="0" w:line="360" w:lineRule="auto"/>
        <w:rPr>
          <w:rFonts w:hint="eastAsia" w:ascii="宋体" w:hAnsi="宋体" w:eastAsia="宋体" w:cs="宋体"/>
          <w:b w:val="0"/>
          <w:bCs w:val="0"/>
          <w:color w:val="auto"/>
          <w:sz w:val="30"/>
          <w:highlight w:val="none"/>
        </w:rPr>
      </w:pPr>
      <w:bookmarkStart w:id="219" w:name="_Toc24918"/>
      <w:bookmarkStart w:id="220" w:name="_Toc27585"/>
      <w:bookmarkStart w:id="221" w:name="_Toc300678032"/>
      <w:bookmarkStart w:id="222" w:name="_Toc23449"/>
      <w:bookmarkStart w:id="223" w:name="_Toc80006094"/>
      <w:bookmarkStart w:id="224" w:name="_Toc9178523"/>
      <w:bookmarkStart w:id="225" w:name="_Toc328"/>
      <w:bookmarkStart w:id="226" w:name="_Toc5077"/>
      <w:bookmarkStart w:id="227" w:name="_Toc80006204"/>
      <w:r>
        <w:rPr>
          <w:rFonts w:hint="eastAsia" w:ascii="宋体" w:hAnsi="宋体" w:eastAsia="宋体" w:cs="宋体"/>
          <w:b w:val="0"/>
          <w:bCs w:val="0"/>
          <w:color w:val="auto"/>
          <w:sz w:val="30"/>
          <w:highlight w:val="none"/>
        </w:rPr>
        <w:t>6.评标</w:t>
      </w:r>
      <w:bookmarkEnd w:id="219"/>
      <w:bookmarkEnd w:id="220"/>
      <w:bookmarkEnd w:id="221"/>
      <w:bookmarkEnd w:id="222"/>
      <w:bookmarkEnd w:id="223"/>
      <w:bookmarkEnd w:id="224"/>
      <w:bookmarkEnd w:id="225"/>
      <w:bookmarkEnd w:id="226"/>
      <w:bookmarkEnd w:id="227"/>
    </w:p>
    <w:p w14:paraId="68EE0ADE">
      <w:pPr>
        <w:pStyle w:val="10"/>
        <w:rPr>
          <w:rFonts w:hint="eastAsia" w:ascii="宋体" w:hAnsi="宋体" w:eastAsia="宋体" w:cs="宋体"/>
          <w:b w:val="0"/>
          <w:bCs w:val="0"/>
          <w:color w:val="auto"/>
          <w:sz w:val="24"/>
          <w:highlight w:val="none"/>
        </w:rPr>
      </w:pPr>
      <w:bookmarkStart w:id="228" w:name="_Toc300678033"/>
      <w:r>
        <w:rPr>
          <w:rFonts w:hint="eastAsia" w:ascii="宋体" w:hAnsi="宋体" w:eastAsia="宋体" w:cs="宋体"/>
          <w:b w:val="0"/>
          <w:bCs w:val="0"/>
          <w:color w:val="auto"/>
          <w:sz w:val="24"/>
          <w:highlight w:val="none"/>
        </w:rPr>
        <w:t>6.1 评标委员会</w:t>
      </w:r>
      <w:bookmarkEnd w:id="228"/>
    </w:p>
    <w:p w14:paraId="2CD392E9">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6.1.1  评标由招标人依法组建的评标委员会负责。评标委员会成员人数以及技术、经济等方面专家的确定方式见投标人须知前附表。</w:t>
      </w:r>
    </w:p>
    <w:p w14:paraId="7A2B0F42">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6.1.2  有下列情形之一的，应当回避：</w:t>
      </w:r>
    </w:p>
    <w:p w14:paraId="11C3370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（1）评标委员会成员是投标人或投标人的主要负责人或拟任项目经理的近亲属；</w:t>
      </w:r>
    </w:p>
    <w:p w14:paraId="7FA518F2">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（2）评标委员会成员是本项目招标投标行政监督部门的人员；</w:t>
      </w:r>
    </w:p>
    <w:p w14:paraId="1D33B2FC">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（3）评标委员会成员是招标人或者其下属单位或者招标项目上级主管部门的人员，但招标人代表除外；</w:t>
      </w:r>
    </w:p>
    <w:p w14:paraId="0ECC6986">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（4）评标委员会成员曾参与投标人的投标文件编制或者对投标文件的编制实施指导；</w:t>
      </w:r>
    </w:p>
    <w:p w14:paraId="34CF9AE2">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（5）评标委员会成员与投标人有经济利益关系，可能影响对投标公正评审的。</w:t>
      </w:r>
    </w:p>
    <w:p w14:paraId="2EDE26C7">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（6）评标委员会成员被主管部门禁止参加本地区依法必须招标项目评标或者取消担任评标委员会成员资格。</w:t>
      </w:r>
    </w:p>
    <w:p w14:paraId="1F7F4371">
      <w:pPr>
        <w:pStyle w:val="10"/>
        <w:rPr>
          <w:rFonts w:hint="eastAsia" w:ascii="宋体" w:hAnsi="宋体" w:eastAsia="宋体" w:cs="宋体"/>
          <w:b w:val="0"/>
          <w:bCs w:val="0"/>
          <w:color w:val="auto"/>
          <w:sz w:val="24"/>
          <w:highlight w:val="none"/>
        </w:rPr>
      </w:pPr>
      <w:bookmarkStart w:id="229" w:name="_Toc300678034"/>
      <w:r>
        <w:rPr>
          <w:rFonts w:hint="eastAsia" w:ascii="宋体" w:hAnsi="宋体" w:eastAsia="宋体" w:cs="宋体"/>
          <w:b w:val="0"/>
          <w:bCs w:val="0"/>
          <w:color w:val="auto"/>
          <w:sz w:val="24"/>
          <w:highlight w:val="none"/>
        </w:rPr>
        <w:t>6.2 评标原则</w:t>
      </w:r>
      <w:bookmarkEnd w:id="229"/>
    </w:p>
    <w:p w14:paraId="41AFFB1D">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评标活动遵循公平、公正、科学和择优的原则。</w:t>
      </w:r>
    </w:p>
    <w:p w14:paraId="6C756213">
      <w:pPr>
        <w:pStyle w:val="10"/>
        <w:rPr>
          <w:rFonts w:hint="eastAsia" w:ascii="宋体" w:hAnsi="宋体" w:eastAsia="宋体" w:cs="宋体"/>
          <w:b w:val="0"/>
          <w:bCs w:val="0"/>
          <w:color w:val="auto"/>
          <w:sz w:val="24"/>
          <w:highlight w:val="none"/>
        </w:rPr>
      </w:pPr>
      <w:bookmarkStart w:id="230" w:name="_Toc300678035"/>
      <w:r>
        <w:rPr>
          <w:rFonts w:hint="eastAsia" w:ascii="宋体" w:hAnsi="宋体" w:eastAsia="宋体" w:cs="宋体"/>
          <w:b w:val="0"/>
          <w:bCs w:val="0"/>
          <w:color w:val="auto"/>
          <w:sz w:val="24"/>
          <w:highlight w:val="none"/>
        </w:rPr>
        <w:t>6.3 评标</w:t>
      </w:r>
      <w:bookmarkEnd w:id="230"/>
    </w:p>
    <w:p w14:paraId="67BE3ECE">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评标委员会按照第三章“评标办法”规定的评审标准和评审程序对投标文件进行评审。第三章“评标办法”没有规定的方法、评审因素和标准，不作为评标依据。</w:t>
      </w:r>
    </w:p>
    <w:p w14:paraId="7A5DB74A">
      <w:pPr>
        <w:pStyle w:val="8"/>
        <w:spacing w:before="0" w:after="0" w:line="360" w:lineRule="auto"/>
        <w:rPr>
          <w:rFonts w:hint="eastAsia" w:ascii="宋体" w:hAnsi="宋体" w:eastAsia="宋体" w:cs="宋体"/>
          <w:b w:val="0"/>
          <w:bCs w:val="0"/>
          <w:color w:val="auto"/>
          <w:sz w:val="30"/>
          <w:highlight w:val="none"/>
        </w:rPr>
      </w:pPr>
      <w:bookmarkStart w:id="231" w:name="_Toc2348"/>
      <w:bookmarkStart w:id="232" w:name="_Toc80006095"/>
      <w:bookmarkStart w:id="233" w:name="_Toc22764"/>
      <w:bookmarkStart w:id="234" w:name="_Toc80006205"/>
      <w:bookmarkStart w:id="235" w:name="_Toc8689"/>
      <w:bookmarkStart w:id="236" w:name="_Toc300678036"/>
      <w:bookmarkStart w:id="237" w:name="_Toc15482"/>
      <w:bookmarkStart w:id="238" w:name="_Toc9178524"/>
      <w:bookmarkStart w:id="239" w:name="_Toc4655"/>
      <w:r>
        <w:rPr>
          <w:rFonts w:hint="eastAsia" w:ascii="宋体" w:hAnsi="宋体" w:eastAsia="宋体" w:cs="宋体"/>
          <w:b w:val="0"/>
          <w:bCs w:val="0"/>
          <w:color w:val="auto"/>
          <w:sz w:val="30"/>
          <w:highlight w:val="none"/>
        </w:rPr>
        <w:t>7.合同授予</w:t>
      </w:r>
      <w:bookmarkEnd w:id="231"/>
      <w:bookmarkEnd w:id="232"/>
      <w:bookmarkEnd w:id="233"/>
      <w:bookmarkEnd w:id="234"/>
      <w:bookmarkEnd w:id="235"/>
      <w:bookmarkEnd w:id="236"/>
      <w:bookmarkEnd w:id="237"/>
      <w:bookmarkEnd w:id="238"/>
      <w:bookmarkEnd w:id="239"/>
    </w:p>
    <w:p w14:paraId="352B0988">
      <w:pPr>
        <w:pStyle w:val="10"/>
        <w:rPr>
          <w:rFonts w:hint="eastAsia" w:ascii="宋体" w:hAnsi="宋体" w:eastAsia="宋体" w:cs="宋体"/>
          <w:b w:val="0"/>
          <w:bCs w:val="0"/>
          <w:color w:val="auto"/>
          <w:sz w:val="24"/>
          <w:highlight w:val="none"/>
        </w:rPr>
      </w:pPr>
      <w:bookmarkStart w:id="240" w:name="_Toc300678037"/>
      <w:r>
        <w:rPr>
          <w:rFonts w:hint="eastAsia" w:ascii="宋体" w:hAnsi="宋体" w:eastAsia="宋体" w:cs="宋体"/>
          <w:b w:val="0"/>
          <w:bCs w:val="0"/>
          <w:color w:val="auto"/>
          <w:sz w:val="24"/>
          <w:highlight w:val="none"/>
        </w:rPr>
        <w:t>7.1 定标方式</w:t>
      </w:r>
      <w:bookmarkEnd w:id="240"/>
    </w:p>
    <w:p w14:paraId="616BF6F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招标人依据评标委员会推荐的中标候选人确定中标人。评标委员会推荐中标候选人的数量以及招标人确定中标人的方式见投标人须知前附表。</w:t>
      </w:r>
    </w:p>
    <w:p w14:paraId="0716EC08">
      <w:pPr>
        <w:spacing w:line="360" w:lineRule="auto"/>
        <w:ind w:firstLine="420" w:firstLineChars="200"/>
        <w:rPr>
          <w:rFonts w:hint="eastAsia" w:ascii="宋体" w:hAnsi="宋体" w:eastAsia="宋体" w:cs="宋体"/>
          <w:color w:val="auto"/>
          <w:highlight w:val="none"/>
        </w:rPr>
      </w:pPr>
    </w:p>
    <w:p w14:paraId="3A99E973">
      <w:pPr>
        <w:pStyle w:val="10"/>
        <w:rPr>
          <w:rFonts w:hint="eastAsia" w:ascii="宋体" w:hAnsi="宋体" w:eastAsia="宋体" w:cs="宋体"/>
          <w:b w:val="0"/>
          <w:bCs w:val="0"/>
          <w:color w:val="auto"/>
          <w:sz w:val="24"/>
          <w:highlight w:val="none"/>
        </w:rPr>
      </w:pPr>
      <w:bookmarkStart w:id="241" w:name="_Toc300678038"/>
      <w:r>
        <w:rPr>
          <w:rFonts w:hint="eastAsia" w:ascii="宋体" w:hAnsi="宋体" w:eastAsia="宋体" w:cs="宋体"/>
          <w:b w:val="0"/>
          <w:bCs w:val="0"/>
          <w:color w:val="auto"/>
          <w:sz w:val="24"/>
          <w:highlight w:val="none"/>
        </w:rPr>
        <w:t>7.2 中标通知</w:t>
      </w:r>
      <w:bookmarkEnd w:id="241"/>
    </w:p>
    <w:p w14:paraId="5E0D534B">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在规定的投标有效期内，招标人以书面形式向中标人发出中标通知书，同时将中标结果通知未中标的投标人。</w:t>
      </w:r>
    </w:p>
    <w:p w14:paraId="4B8420C6">
      <w:pPr>
        <w:pStyle w:val="10"/>
        <w:rPr>
          <w:rFonts w:hint="eastAsia" w:ascii="宋体" w:hAnsi="宋体" w:eastAsia="宋体" w:cs="宋体"/>
          <w:b w:val="0"/>
          <w:bCs w:val="0"/>
          <w:color w:val="auto"/>
          <w:sz w:val="24"/>
          <w:highlight w:val="none"/>
        </w:rPr>
      </w:pPr>
      <w:bookmarkStart w:id="242" w:name="_Toc300678039"/>
      <w:r>
        <w:rPr>
          <w:rFonts w:hint="eastAsia" w:ascii="宋体" w:hAnsi="宋体" w:eastAsia="宋体" w:cs="宋体"/>
          <w:b w:val="0"/>
          <w:bCs w:val="0"/>
          <w:color w:val="auto"/>
          <w:sz w:val="24"/>
          <w:highlight w:val="none"/>
        </w:rPr>
        <w:t>7.3 履约担保</w:t>
      </w:r>
      <w:bookmarkEnd w:id="242"/>
      <w:r>
        <w:rPr>
          <w:rFonts w:hint="eastAsia" w:ascii="宋体" w:hAnsi="宋体" w:eastAsia="宋体" w:cs="宋体"/>
          <w:b w:val="0"/>
          <w:bCs w:val="0"/>
          <w:color w:val="auto"/>
          <w:sz w:val="24"/>
          <w:highlight w:val="none"/>
        </w:rPr>
        <w:t>及工程款支付担保</w:t>
      </w:r>
    </w:p>
    <w:p w14:paraId="77B275B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□7.3.1  在签订合同前，中标人应按投标人须知前附表规定的金额、担保形式和招标文件第四章“合同条款及格式”规定的履约担保格式向招标人提交履约担保。联合体中标的，履约担保由牵头人递交。</w:t>
      </w:r>
    </w:p>
    <w:p w14:paraId="3948F666">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7.3.1 采用经评审的最低投标价法中标的， 在签订合同前，中标人应按投标人须知前附表规定的金额、担保形式和招标文件第四章规定的履约担保格式向招标人提交履约担保。联合体中标的，履约担保由牵头人递交。</w:t>
      </w:r>
    </w:p>
    <w:p w14:paraId="7D13A203">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7.3.2  中标人不能按本须知第7.3.1 项要求提交履约担保的，视为放弃中标。给招标人造成的损失超过投标保证数额的，中标人应当对超过部分予以赔偿。</w:t>
      </w:r>
    </w:p>
    <w:p w14:paraId="101E6A05">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7.3.3 招标人应当向中标人提供工程款支付担保。</w:t>
      </w:r>
    </w:p>
    <w:p w14:paraId="1E133D22">
      <w:pPr>
        <w:pStyle w:val="10"/>
        <w:rPr>
          <w:rFonts w:hint="eastAsia" w:ascii="宋体" w:hAnsi="宋体" w:eastAsia="宋体" w:cs="宋体"/>
          <w:b w:val="0"/>
          <w:bCs w:val="0"/>
          <w:color w:val="auto"/>
          <w:sz w:val="24"/>
          <w:highlight w:val="none"/>
        </w:rPr>
      </w:pPr>
      <w:bookmarkStart w:id="243" w:name="_Toc300678040"/>
      <w:r>
        <w:rPr>
          <w:rFonts w:hint="eastAsia" w:ascii="宋体" w:hAnsi="宋体" w:eastAsia="宋体" w:cs="宋体"/>
          <w:b w:val="0"/>
          <w:bCs w:val="0"/>
          <w:color w:val="auto"/>
          <w:sz w:val="24"/>
          <w:highlight w:val="none"/>
        </w:rPr>
        <w:t>7.4 签订合同</w:t>
      </w:r>
      <w:bookmarkEnd w:id="243"/>
    </w:p>
    <w:p w14:paraId="5111F7C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14:paraId="32FB5141">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7.4.2  发出中标通知书后，招标人无正当理由拒签合同的，招标人向中标人退还投标保证；给中标人造成损失的，还应当赔偿损失。</w:t>
      </w:r>
    </w:p>
    <w:p w14:paraId="50CC8F0D">
      <w:pPr>
        <w:pStyle w:val="8"/>
        <w:spacing w:before="0" w:after="0" w:line="360" w:lineRule="auto"/>
        <w:rPr>
          <w:rFonts w:hint="eastAsia" w:ascii="宋体" w:hAnsi="宋体" w:eastAsia="宋体" w:cs="宋体"/>
          <w:b w:val="0"/>
          <w:bCs w:val="0"/>
          <w:color w:val="auto"/>
          <w:sz w:val="30"/>
          <w:highlight w:val="none"/>
        </w:rPr>
      </w:pPr>
      <w:bookmarkStart w:id="244" w:name="_Toc12643"/>
      <w:bookmarkStart w:id="245" w:name="_Toc19454"/>
      <w:bookmarkStart w:id="246" w:name="_Toc80006206"/>
      <w:bookmarkStart w:id="247" w:name="_Toc9564"/>
      <w:bookmarkStart w:id="248" w:name="_Toc300678041"/>
      <w:bookmarkStart w:id="249" w:name="_Toc18170"/>
      <w:bookmarkStart w:id="250" w:name="_Toc9178525"/>
      <w:bookmarkStart w:id="251" w:name="_Toc761"/>
      <w:bookmarkStart w:id="252" w:name="_Toc80006096"/>
      <w:r>
        <w:rPr>
          <w:rFonts w:hint="eastAsia" w:ascii="宋体" w:hAnsi="宋体" w:eastAsia="宋体" w:cs="宋体"/>
          <w:b w:val="0"/>
          <w:bCs w:val="0"/>
          <w:color w:val="auto"/>
          <w:sz w:val="30"/>
          <w:highlight w:val="none"/>
        </w:rPr>
        <w:t>8.重新招标和不再招标</w:t>
      </w:r>
      <w:bookmarkEnd w:id="244"/>
      <w:bookmarkEnd w:id="245"/>
      <w:bookmarkEnd w:id="246"/>
      <w:bookmarkEnd w:id="247"/>
      <w:bookmarkEnd w:id="248"/>
      <w:bookmarkEnd w:id="249"/>
      <w:bookmarkEnd w:id="250"/>
      <w:bookmarkEnd w:id="251"/>
      <w:bookmarkEnd w:id="252"/>
    </w:p>
    <w:p w14:paraId="759F1219">
      <w:pPr>
        <w:pStyle w:val="10"/>
        <w:rPr>
          <w:rFonts w:hint="eastAsia" w:ascii="宋体" w:hAnsi="宋体" w:eastAsia="宋体" w:cs="宋体"/>
          <w:b w:val="0"/>
          <w:bCs w:val="0"/>
          <w:color w:val="auto"/>
          <w:sz w:val="24"/>
          <w:highlight w:val="none"/>
        </w:rPr>
      </w:pPr>
      <w:bookmarkStart w:id="253" w:name="_Toc300678042"/>
      <w:r>
        <w:rPr>
          <w:rFonts w:hint="eastAsia" w:ascii="宋体" w:hAnsi="宋体" w:eastAsia="宋体" w:cs="宋体"/>
          <w:b w:val="0"/>
          <w:bCs w:val="0"/>
          <w:color w:val="auto"/>
          <w:sz w:val="24"/>
          <w:highlight w:val="none"/>
        </w:rPr>
        <w:t>8.1 重新招标</w:t>
      </w:r>
      <w:bookmarkEnd w:id="253"/>
    </w:p>
    <w:p w14:paraId="114E2963">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有下列情形之一的，招标人将重新招标：</w:t>
      </w:r>
    </w:p>
    <w:p w14:paraId="69FC1176">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（l）获取资格预审文件或者招标文件的潜在投标人少于3个的；</w:t>
      </w:r>
    </w:p>
    <w:p w14:paraId="7068677C">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（2）在投标截止时间之前提交投标文件的投标人少于3个的；</w:t>
      </w:r>
    </w:p>
    <w:p w14:paraId="20713D9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（3）通过资格预审的申请人少于3个的；</w:t>
      </w:r>
    </w:p>
    <w:p w14:paraId="2EF95FC0">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（4）经评标委员会评审，所有投标文件均被否决的；</w:t>
      </w:r>
    </w:p>
    <w:p w14:paraId="21F68C88">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（5）有效投标人不足3个，评标委员会认为投标明显缺乏竞争，否决本次招标的；</w:t>
      </w:r>
    </w:p>
    <w:p w14:paraId="49F79D69">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（6）所有中标候选人依法均不能确定为中标人的。</w:t>
      </w:r>
    </w:p>
    <w:p w14:paraId="4E2BC17E">
      <w:pPr>
        <w:pStyle w:val="10"/>
        <w:rPr>
          <w:rFonts w:hint="eastAsia" w:ascii="宋体" w:hAnsi="宋体" w:eastAsia="宋体" w:cs="宋体"/>
          <w:b w:val="0"/>
          <w:bCs w:val="0"/>
          <w:color w:val="auto"/>
          <w:sz w:val="24"/>
          <w:highlight w:val="none"/>
        </w:rPr>
      </w:pPr>
      <w:bookmarkStart w:id="254" w:name="_Toc300678043"/>
      <w:r>
        <w:rPr>
          <w:rFonts w:hint="eastAsia" w:ascii="宋体" w:hAnsi="宋体" w:eastAsia="宋体" w:cs="宋体"/>
          <w:b w:val="0"/>
          <w:bCs w:val="0"/>
          <w:color w:val="auto"/>
          <w:sz w:val="24"/>
          <w:highlight w:val="none"/>
        </w:rPr>
        <w:t>8.2 不再招标</w:t>
      </w:r>
      <w:bookmarkEnd w:id="254"/>
    </w:p>
    <w:p w14:paraId="68E5F9BF">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重新招标后投标人仍少于3 个或者所有投标被否决的，属于必须审批或核准的工程建设项目，经原审批或核准部门批准后不再进行招标。</w:t>
      </w:r>
    </w:p>
    <w:p w14:paraId="22FCA4D7">
      <w:pPr>
        <w:pStyle w:val="8"/>
        <w:spacing w:before="0" w:after="0" w:line="360" w:lineRule="auto"/>
        <w:rPr>
          <w:rFonts w:hint="eastAsia" w:ascii="宋体" w:hAnsi="宋体" w:eastAsia="宋体" w:cs="宋体"/>
          <w:b w:val="0"/>
          <w:bCs w:val="0"/>
          <w:color w:val="auto"/>
          <w:sz w:val="30"/>
          <w:highlight w:val="none"/>
        </w:rPr>
      </w:pPr>
      <w:bookmarkStart w:id="255" w:name="_Toc80006207"/>
      <w:bookmarkStart w:id="256" w:name="_Toc23693"/>
      <w:bookmarkStart w:id="257" w:name="_Toc5316"/>
      <w:bookmarkStart w:id="258" w:name="_Toc300678044"/>
      <w:bookmarkStart w:id="259" w:name="_Toc25613"/>
      <w:bookmarkStart w:id="260" w:name="_Toc31948"/>
      <w:bookmarkStart w:id="261" w:name="_Toc9178526"/>
      <w:bookmarkStart w:id="262" w:name="_Toc80006097"/>
      <w:bookmarkStart w:id="263" w:name="_Toc23991"/>
      <w:r>
        <w:rPr>
          <w:rFonts w:hint="eastAsia" w:ascii="宋体" w:hAnsi="宋体" w:eastAsia="宋体" w:cs="宋体"/>
          <w:b w:val="0"/>
          <w:bCs w:val="0"/>
          <w:color w:val="auto"/>
          <w:sz w:val="30"/>
          <w:highlight w:val="none"/>
        </w:rPr>
        <w:t>9.纪律和监督</w:t>
      </w:r>
      <w:bookmarkEnd w:id="255"/>
      <w:bookmarkEnd w:id="256"/>
      <w:bookmarkEnd w:id="257"/>
      <w:bookmarkEnd w:id="258"/>
      <w:bookmarkEnd w:id="259"/>
      <w:bookmarkEnd w:id="260"/>
      <w:bookmarkEnd w:id="261"/>
      <w:bookmarkEnd w:id="262"/>
      <w:bookmarkEnd w:id="263"/>
    </w:p>
    <w:p w14:paraId="4B760ABD">
      <w:pPr>
        <w:pStyle w:val="10"/>
        <w:rPr>
          <w:rFonts w:hint="eastAsia" w:ascii="宋体" w:hAnsi="宋体" w:eastAsia="宋体" w:cs="宋体"/>
          <w:b w:val="0"/>
          <w:bCs w:val="0"/>
          <w:color w:val="auto"/>
          <w:sz w:val="24"/>
          <w:highlight w:val="none"/>
        </w:rPr>
      </w:pPr>
      <w:bookmarkStart w:id="264" w:name="_Toc300678046"/>
      <w:r>
        <w:rPr>
          <w:rFonts w:hint="eastAsia" w:ascii="宋体" w:hAnsi="宋体" w:eastAsia="宋体" w:cs="宋体"/>
          <w:b w:val="0"/>
          <w:bCs w:val="0"/>
          <w:color w:val="auto"/>
          <w:sz w:val="24"/>
          <w:highlight w:val="none"/>
        </w:rPr>
        <w:t>9.1对投标人的纪律要求</w:t>
      </w:r>
      <w:bookmarkEnd w:id="264"/>
    </w:p>
    <w:p w14:paraId="0BC0C02A">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A0CC05B">
      <w:pPr>
        <w:pStyle w:val="10"/>
        <w:rPr>
          <w:rFonts w:hint="eastAsia" w:ascii="宋体" w:hAnsi="宋体" w:eastAsia="宋体" w:cs="宋体"/>
          <w:b w:val="0"/>
          <w:bCs w:val="0"/>
          <w:color w:val="auto"/>
          <w:sz w:val="24"/>
          <w:highlight w:val="none"/>
        </w:rPr>
      </w:pPr>
      <w:bookmarkStart w:id="265" w:name="_Toc300678047"/>
      <w:r>
        <w:rPr>
          <w:rFonts w:hint="eastAsia" w:ascii="宋体" w:hAnsi="宋体" w:eastAsia="宋体" w:cs="宋体"/>
          <w:b w:val="0"/>
          <w:bCs w:val="0"/>
          <w:color w:val="auto"/>
          <w:sz w:val="24"/>
          <w:highlight w:val="none"/>
        </w:rPr>
        <w:t>9.2对评标委员会成员的纪律要求</w:t>
      </w:r>
      <w:bookmarkEnd w:id="265"/>
    </w:p>
    <w:p w14:paraId="75DB7759">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14:paraId="4736B158">
      <w:pPr>
        <w:pStyle w:val="10"/>
        <w:rPr>
          <w:rFonts w:hint="eastAsia" w:ascii="宋体" w:hAnsi="宋体" w:eastAsia="宋体" w:cs="宋体"/>
          <w:b w:val="0"/>
          <w:bCs w:val="0"/>
          <w:color w:val="auto"/>
          <w:sz w:val="24"/>
          <w:highlight w:val="none"/>
        </w:rPr>
      </w:pPr>
      <w:bookmarkStart w:id="266" w:name="_Toc300678048"/>
      <w:r>
        <w:rPr>
          <w:rFonts w:hint="eastAsia" w:ascii="宋体" w:hAnsi="宋体" w:eastAsia="宋体" w:cs="宋体"/>
          <w:b w:val="0"/>
          <w:bCs w:val="0"/>
          <w:color w:val="auto"/>
          <w:sz w:val="24"/>
          <w:highlight w:val="none"/>
        </w:rPr>
        <w:t>9.3 对与评标活动有关的工作人员的纪律要求</w:t>
      </w:r>
      <w:bookmarkEnd w:id="266"/>
    </w:p>
    <w:p w14:paraId="79645311">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7FCF61D7">
      <w:pPr>
        <w:pStyle w:val="10"/>
        <w:rPr>
          <w:rFonts w:hint="eastAsia" w:ascii="宋体" w:hAnsi="宋体" w:eastAsia="宋体" w:cs="宋体"/>
          <w:b w:val="0"/>
          <w:color w:val="auto"/>
          <w:kern w:val="0"/>
          <w:szCs w:val="21"/>
          <w:highlight w:val="none"/>
        </w:rPr>
      </w:pPr>
      <w:bookmarkStart w:id="267" w:name="_Toc300678049"/>
      <w:r>
        <w:rPr>
          <w:rFonts w:hint="eastAsia" w:ascii="宋体" w:hAnsi="宋体" w:eastAsia="宋体" w:cs="宋体"/>
          <w:b w:val="0"/>
          <w:bCs w:val="0"/>
          <w:color w:val="auto"/>
          <w:sz w:val="24"/>
          <w:highlight w:val="none"/>
        </w:rPr>
        <w:t xml:space="preserve">9.4 </w:t>
      </w:r>
      <w:r>
        <w:rPr>
          <w:rFonts w:hint="eastAsia" w:ascii="宋体" w:hAnsi="宋体" w:eastAsia="宋体" w:cs="宋体"/>
          <w:b w:val="0"/>
          <w:color w:val="auto"/>
          <w:kern w:val="0"/>
          <w:szCs w:val="21"/>
          <w:highlight w:val="none"/>
        </w:rPr>
        <w:t>异议和投诉</w:t>
      </w:r>
      <w:bookmarkEnd w:id="267"/>
    </w:p>
    <w:p w14:paraId="1AAD41E5">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9.4.1投标人或者其他利害关系人就下列事项投诉的，应当按照相关规定向招标人提出异议：</w:t>
      </w:r>
    </w:p>
    <w:p w14:paraId="079C4BC1">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(1)认为招标文件不符合相关法律法规规范性文件规定，应当在投标截止时间</w:t>
      </w:r>
      <w:r>
        <w:rPr>
          <w:rFonts w:hint="eastAsia" w:ascii="宋体" w:hAnsi="宋体" w:eastAsia="宋体" w:cs="宋体"/>
          <w:bCs/>
          <w:color w:val="auto"/>
          <w:kern w:val="0"/>
          <w:highlight w:val="none"/>
          <w:lang w:val="en-US" w:eastAsia="zh-CN"/>
        </w:rPr>
        <w:t>3</w:t>
      </w:r>
      <w:r>
        <w:rPr>
          <w:rFonts w:hint="eastAsia" w:ascii="宋体" w:hAnsi="宋体" w:eastAsia="宋体" w:cs="宋体"/>
          <w:bCs/>
          <w:color w:val="auto"/>
          <w:kern w:val="0"/>
          <w:highlight w:val="none"/>
        </w:rPr>
        <w:t>日前向招标人提出异议；</w:t>
      </w:r>
    </w:p>
    <w:p w14:paraId="598925EA">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(2)认为开标活动不符合相关法律法规规范性文件规定的，应当在开标现场提出异议；</w:t>
      </w:r>
    </w:p>
    <w:p w14:paraId="70BB74FC">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(3)对评标结果有异议的，在中标候选人公示期以书面形式向招标人提出；</w:t>
      </w:r>
    </w:p>
    <w:p w14:paraId="61BFAAC5">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投标人或利害关系人不满意招标人的答复或者认为招标人处理不当的，可以向本项目的招标投标行政监督部门投诉。</w:t>
      </w:r>
      <w:bookmarkStart w:id="268" w:name="_Toc300678050"/>
    </w:p>
    <w:p w14:paraId="369EB770">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rPr>
      </w:pPr>
      <w:r>
        <w:rPr>
          <w:rFonts w:hint="eastAsia" w:ascii="宋体" w:hAnsi="宋体" w:eastAsia="宋体" w:cs="宋体"/>
          <w:bCs/>
          <w:color w:val="auto"/>
          <w:kern w:val="0"/>
          <w:highlight w:val="none"/>
        </w:rPr>
        <w:t>9.4.2投标人或者其他利害关系人认为本次招标活动违反法律法规规范性文件规定的，可以在知道或者应当知道之日起</w:t>
      </w:r>
      <w:r>
        <w:rPr>
          <w:rFonts w:hint="eastAsia" w:ascii="宋体" w:hAnsi="宋体" w:eastAsia="宋体" w:cs="宋体"/>
          <w:bCs/>
          <w:color w:val="auto"/>
          <w:kern w:val="0"/>
          <w:highlight w:val="none"/>
          <w:lang w:val="en-US" w:eastAsia="zh-CN"/>
        </w:rPr>
        <w:t>3</w:t>
      </w:r>
      <w:r>
        <w:rPr>
          <w:rFonts w:hint="eastAsia" w:ascii="宋体" w:hAnsi="宋体" w:eastAsia="宋体" w:cs="宋体"/>
          <w:bCs/>
          <w:color w:val="auto"/>
          <w:kern w:val="0"/>
          <w:highlight w:val="none"/>
        </w:rPr>
        <w:t>日内向本项目的招标投标行政监督部门投诉。</w:t>
      </w:r>
    </w:p>
    <w:p w14:paraId="17BE8D99">
      <w:pPr>
        <w:pStyle w:val="84"/>
        <w:widowControl w:val="0"/>
        <w:adjustRightInd w:val="0"/>
        <w:snapToGrid w:val="0"/>
        <w:spacing w:line="360" w:lineRule="auto"/>
        <w:ind w:firstLine="420" w:firstLineChars="200"/>
        <w:jc w:val="left"/>
        <w:rPr>
          <w:rFonts w:hint="eastAsia" w:ascii="宋体" w:hAnsi="宋体" w:eastAsia="宋体" w:cs="宋体"/>
          <w:bCs/>
          <w:color w:val="auto"/>
          <w:kern w:val="0"/>
          <w:highlight w:val="none"/>
          <w:shd w:val="clear" w:color="auto" w:fill="FFFFFF"/>
        </w:rPr>
      </w:pPr>
      <w:r>
        <w:rPr>
          <w:rFonts w:hint="eastAsia" w:ascii="宋体" w:hAnsi="宋体" w:eastAsia="宋体" w:cs="宋体"/>
          <w:bCs/>
          <w:color w:val="auto"/>
          <w:kern w:val="0"/>
          <w:highlight w:val="none"/>
          <w:shd w:val="clear" w:color="auto" w:fill="FFFFFF"/>
        </w:rPr>
        <w:t xml:space="preserve">9.4.3有关信用评价信息弄虚作假的异议，按《湖南省房屋建筑和市政基础设施工程施工及监理招标投标信用评价管理暂行办法》处理。经核实后影响到中标结果的，依法取消其中标资格。 </w:t>
      </w:r>
    </w:p>
    <w:p w14:paraId="07558BEB">
      <w:pPr>
        <w:pStyle w:val="8"/>
        <w:spacing w:before="0" w:after="0" w:line="360" w:lineRule="auto"/>
        <w:rPr>
          <w:rFonts w:hint="eastAsia" w:ascii="宋体" w:hAnsi="宋体" w:eastAsia="宋体" w:cs="宋体"/>
          <w:b w:val="0"/>
          <w:bCs w:val="0"/>
          <w:color w:val="auto"/>
          <w:sz w:val="30"/>
          <w:highlight w:val="none"/>
        </w:rPr>
      </w:pPr>
      <w:bookmarkStart w:id="269" w:name="_Toc9178527"/>
      <w:bookmarkStart w:id="270" w:name="_Toc27179"/>
      <w:bookmarkStart w:id="271" w:name="_Toc17552"/>
      <w:bookmarkStart w:id="272" w:name="_Toc32319"/>
      <w:bookmarkStart w:id="273" w:name="_Toc10994"/>
      <w:bookmarkStart w:id="274" w:name="_Toc18774"/>
      <w:bookmarkStart w:id="275" w:name="_Toc80006208"/>
      <w:bookmarkStart w:id="276" w:name="_Toc80006098"/>
      <w:r>
        <w:rPr>
          <w:rFonts w:hint="eastAsia" w:ascii="宋体" w:hAnsi="宋体" w:eastAsia="宋体" w:cs="宋体"/>
          <w:b w:val="0"/>
          <w:bCs w:val="0"/>
          <w:color w:val="auto"/>
          <w:sz w:val="30"/>
          <w:highlight w:val="none"/>
        </w:rPr>
        <w:t>10.需要补充的其他内容</w:t>
      </w:r>
      <w:bookmarkEnd w:id="268"/>
      <w:bookmarkEnd w:id="269"/>
      <w:bookmarkEnd w:id="270"/>
      <w:bookmarkEnd w:id="271"/>
      <w:bookmarkEnd w:id="272"/>
      <w:bookmarkEnd w:id="273"/>
      <w:bookmarkEnd w:id="274"/>
      <w:bookmarkEnd w:id="275"/>
      <w:bookmarkEnd w:id="276"/>
    </w:p>
    <w:p w14:paraId="429F4199">
      <w:pPr>
        <w:pStyle w:val="84"/>
        <w:widowControl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需要补充的其他内容：见投标人须知前附表。</w:t>
      </w:r>
    </w:p>
    <w:p w14:paraId="2CA590C5">
      <w:pPr>
        <w:spacing w:line="360" w:lineRule="auto"/>
        <w:ind w:firstLine="420" w:firstLineChars="200"/>
        <w:rPr>
          <w:rFonts w:hint="eastAsia" w:ascii="宋体" w:hAnsi="宋体" w:eastAsia="宋体" w:cs="宋体"/>
          <w:color w:val="auto"/>
          <w:highlight w:val="none"/>
        </w:rPr>
      </w:pPr>
    </w:p>
    <w:p w14:paraId="2A14BFF2">
      <w:pPr>
        <w:spacing w:line="400" w:lineRule="exact"/>
        <w:rPr>
          <w:rFonts w:hint="eastAsia" w:ascii="宋体" w:hAnsi="宋体" w:eastAsia="宋体" w:cs="宋体"/>
          <w:color w:val="auto"/>
          <w:sz w:val="24"/>
          <w:highlight w:val="none"/>
        </w:rPr>
      </w:pPr>
      <w:bookmarkStart w:id="277" w:name="_Toc300678051"/>
    </w:p>
    <w:p w14:paraId="242B2903">
      <w:pPr>
        <w:spacing w:line="400" w:lineRule="exact"/>
        <w:rPr>
          <w:rStyle w:val="62"/>
          <w:rFonts w:hint="eastAsia" w:ascii="宋体" w:hAnsi="宋体" w:eastAsia="宋体" w:cs="宋体"/>
          <w:b w:val="0"/>
          <w:color w:val="auto"/>
          <w:sz w:val="24"/>
          <w:highlight w:val="none"/>
        </w:rPr>
        <w:sectPr>
          <w:pgSz w:w="11907" w:h="16840"/>
          <w:pgMar w:top="1418" w:right="1418" w:bottom="1418" w:left="1418" w:header="851" w:footer="850" w:gutter="0"/>
          <w:cols w:space="720" w:num="1"/>
          <w:docGrid w:linePitch="312" w:charSpace="0"/>
        </w:sectPr>
      </w:pPr>
    </w:p>
    <w:bookmarkEnd w:id="277"/>
    <w:p w14:paraId="7E936990">
      <w:pPr>
        <w:snapToGrid w:val="0"/>
        <w:spacing w:line="360" w:lineRule="auto"/>
        <w:jc w:val="left"/>
        <w:rPr>
          <w:rStyle w:val="62"/>
          <w:rFonts w:hint="eastAsia" w:ascii="宋体" w:hAnsi="宋体" w:eastAsia="宋体" w:cs="宋体"/>
          <w:b w:val="0"/>
          <w:color w:val="auto"/>
          <w:sz w:val="24"/>
          <w:highlight w:val="none"/>
        </w:rPr>
      </w:pPr>
      <w:bookmarkStart w:id="278" w:name="_Toc300678057"/>
      <w:bookmarkStart w:id="279" w:name="_Toc13946"/>
      <w:r>
        <w:rPr>
          <w:rStyle w:val="62"/>
          <w:rFonts w:hint="eastAsia" w:ascii="宋体" w:hAnsi="宋体" w:eastAsia="宋体" w:cs="宋体"/>
          <w:b w:val="0"/>
          <w:color w:val="auto"/>
          <w:sz w:val="24"/>
          <w:highlight w:val="none"/>
        </w:rPr>
        <w:t>附件2-1：电子投标文件编制及报送要求</w:t>
      </w:r>
      <w:bookmarkEnd w:id="278"/>
      <w:bookmarkEnd w:id="279"/>
    </w:p>
    <w:p w14:paraId="5585FC7E">
      <w:pPr>
        <w:spacing w:before="472" w:beforeLines="150" w:after="472" w:afterLines="150" w:line="420" w:lineRule="exact"/>
        <w:jc w:val="center"/>
        <w:rPr>
          <w:rFonts w:hint="eastAsia" w:ascii="宋体" w:hAnsi="宋体" w:eastAsia="宋体" w:cs="宋体"/>
          <w:color w:val="auto"/>
          <w:sz w:val="28"/>
          <w:szCs w:val="28"/>
          <w:highlight w:val="none"/>
        </w:rPr>
      </w:pPr>
      <w:bookmarkStart w:id="280" w:name="_Toc2790"/>
      <w:r>
        <w:rPr>
          <w:rFonts w:hint="eastAsia" w:ascii="宋体" w:hAnsi="宋体" w:eastAsia="宋体" w:cs="宋体"/>
          <w:color w:val="auto"/>
          <w:sz w:val="28"/>
          <w:szCs w:val="28"/>
          <w:highlight w:val="none"/>
        </w:rPr>
        <w:t>电子投标文件编制及报送要求</w:t>
      </w:r>
      <w:bookmarkEnd w:id="280"/>
    </w:p>
    <w:p w14:paraId="7B2F380A">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说明：采用计算机辅助评标，包括采用电子化招标投标的，本附表应当作为“投标人须知”的附件，由招标人根据各地和招标项目的具体情况给予规定。</w:t>
      </w:r>
    </w:p>
    <w:p w14:paraId="00CE8648">
      <w:pPr>
        <w:spacing w:line="312" w:lineRule="auto"/>
        <w:ind w:firstLine="480" w:firstLineChars="200"/>
        <w:rPr>
          <w:rFonts w:hint="eastAsia" w:ascii="宋体" w:hAnsi="宋体" w:eastAsia="宋体" w:cs="宋体"/>
          <w:b w:val="0"/>
          <w:bCs w:val="0"/>
          <w:color w:val="auto"/>
          <w:sz w:val="24"/>
          <w:highlight w:val="none"/>
          <w:lang w:eastAsia="zh-CN"/>
        </w:rPr>
      </w:pPr>
      <w:bookmarkStart w:id="281" w:name="_Toc300678058"/>
      <w:r>
        <w:rPr>
          <w:rFonts w:hint="eastAsia" w:ascii="宋体" w:hAnsi="宋体" w:eastAsia="宋体" w:cs="宋体"/>
          <w:b w:val="0"/>
          <w:bCs w:val="0"/>
          <w:color w:val="auto"/>
          <w:sz w:val="24"/>
          <w:highlight w:val="none"/>
          <w:lang w:eastAsia="zh-CN"/>
        </w:rPr>
        <w:t>无</w:t>
      </w:r>
    </w:p>
    <w:p w14:paraId="0FCC18EE">
      <w:pPr>
        <w:spacing w:line="312" w:lineRule="auto"/>
        <w:rPr>
          <w:rFonts w:hint="eastAsia" w:ascii="宋体" w:hAnsi="宋体" w:eastAsia="宋体" w:cs="宋体"/>
          <w:b w:val="0"/>
          <w:bCs w:val="0"/>
          <w:color w:val="auto"/>
          <w:sz w:val="24"/>
          <w:highlight w:val="none"/>
        </w:rPr>
      </w:pPr>
    </w:p>
    <w:p w14:paraId="0040EC02">
      <w:pPr>
        <w:spacing w:line="312" w:lineRule="auto"/>
        <w:rPr>
          <w:rFonts w:hint="eastAsia" w:ascii="宋体" w:hAnsi="宋体" w:eastAsia="宋体" w:cs="宋体"/>
          <w:b w:val="0"/>
          <w:bCs w:val="0"/>
          <w:color w:val="auto"/>
          <w:sz w:val="24"/>
          <w:highlight w:val="none"/>
        </w:rPr>
      </w:pPr>
      <w:bookmarkStart w:id="282" w:name="_Toc15816"/>
      <w:r>
        <w:rPr>
          <w:rFonts w:hint="eastAsia" w:ascii="宋体" w:hAnsi="宋体" w:eastAsia="宋体" w:cs="宋体"/>
          <w:b w:val="0"/>
          <w:bCs w:val="0"/>
          <w:color w:val="auto"/>
          <w:sz w:val="24"/>
          <w:highlight w:val="none"/>
        </w:rPr>
        <w:t>附件2-2：否决投标的情形</w:t>
      </w:r>
      <w:bookmarkEnd w:id="282"/>
    </w:p>
    <w:p w14:paraId="472055C8">
      <w:pPr>
        <w:pStyle w:val="10"/>
        <w:ind w:firstLine="3609" w:firstLineChars="1289"/>
        <w:rPr>
          <w:rFonts w:hint="eastAsia" w:ascii="宋体" w:hAnsi="宋体" w:eastAsia="宋体" w:cs="宋体"/>
          <w:b w:val="0"/>
          <w:bCs w:val="0"/>
          <w:color w:val="auto"/>
          <w:sz w:val="24"/>
          <w:highlight w:val="none"/>
        </w:rPr>
      </w:pPr>
      <w:bookmarkStart w:id="283" w:name="_Toc5409"/>
      <w:r>
        <w:rPr>
          <w:rFonts w:hint="eastAsia" w:ascii="宋体" w:hAnsi="宋体" w:eastAsia="宋体" w:cs="宋体"/>
          <w:b w:val="0"/>
          <w:color w:val="auto"/>
          <w:sz w:val="28"/>
          <w:highlight w:val="none"/>
        </w:rPr>
        <w:t>否决投标的情形</w:t>
      </w:r>
      <w:bookmarkEnd w:id="283"/>
    </w:p>
    <w:p w14:paraId="1EC76C4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本附件所集中列示的否决投标情形，是“评标办法”的组成部分，是对“投标人须知”和评标办法规定的否决投标情形的总结和补充，如果出现相互矛盾的情况，以本附件所集中列示的为准。</w:t>
      </w:r>
      <w:r>
        <w:rPr>
          <w:rFonts w:hint="eastAsia" w:ascii="宋体" w:hAnsi="宋体" w:eastAsia="宋体" w:cs="宋体"/>
          <w:color w:val="auto"/>
          <w:szCs w:val="21"/>
          <w:highlight w:val="none"/>
          <w:lang w:val="en-US" w:eastAsia="zh-CN"/>
        </w:rPr>
        <w:t>未列入本附件所列情形的，不得作为否决投标的依据。</w:t>
      </w:r>
    </w:p>
    <w:p w14:paraId="28537B33">
      <w:pPr>
        <w:pStyle w:val="144"/>
        <w:adjustRightInd w:val="0"/>
        <w:snapToGrid w:val="0"/>
        <w:spacing w:line="360" w:lineRule="auto"/>
        <w:ind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投标人或其投标文件有下列情形之一的，其投标应当予以否决：</w:t>
      </w:r>
    </w:p>
    <w:p w14:paraId="4E4F6103">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有本章“投标人须知”第1.4.3项规定的任何一种情形的；</w:t>
      </w:r>
    </w:p>
    <w:p w14:paraId="6516BD4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 投标人以他人名义投标、串通投标、以行贿手段谋取中标的；</w:t>
      </w:r>
    </w:p>
    <w:p w14:paraId="072C98AE">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投标人资格条件不符合国家有关规定或者招标文件要求的，或者拒不按照要求对投标文件进行澄清、说明或补正</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，或者其说明补正无法证明其为合格投标人的；</w:t>
      </w:r>
    </w:p>
    <w:p w14:paraId="697C0A43">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在形式评审、资格评审、响应性评审中，评标委员会认定投标文件不符合评标办法前附表规定的任何一项评审标准的</w:t>
      </w:r>
      <w:r>
        <w:rPr>
          <w:rFonts w:hint="eastAsia" w:ascii="宋体" w:hAnsi="宋体" w:eastAsia="宋体" w:cs="宋体"/>
          <w:color w:val="auto"/>
          <w:szCs w:val="21"/>
          <w:highlight w:val="none"/>
          <w:lang w:eastAsia="zh-CN"/>
        </w:rPr>
        <w:t>；</w:t>
      </w:r>
    </w:p>
    <w:p w14:paraId="4F2E4142">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 已进行资格预审的，当投标人资格申请文件的内容发生重大变化时，其在投标文件中更新的资料，未能通过资格评审的；</w:t>
      </w:r>
    </w:p>
    <w:p w14:paraId="1747335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评标委员会认定投标人以低于成本报价竞标的；</w:t>
      </w:r>
    </w:p>
    <w:p w14:paraId="32C6EAD1">
      <w:pPr>
        <w:adjustRightInd w:val="0"/>
        <w:snapToGrid w:val="0"/>
        <w:spacing w:line="360" w:lineRule="auto"/>
        <w:ind w:firstLine="420" w:firstLineChars="200"/>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1.7 施工组织设计采用合格性评审，被评标委员会认定为不合格的；</w:t>
      </w:r>
    </w:p>
    <w:p w14:paraId="23D18C9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投标报价有错误的，评标委员会按评标办法“附件3</w:t>
      </w:r>
      <w:r>
        <w:rPr>
          <w:rFonts w:hint="eastAsia" w:ascii="宋体" w:hAnsi="宋体" w:eastAsia="宋体" w:cs="宋体"/>
          <w:color w:val="auto"/>
          <w:sz w:val="18"/>
          <w:szCs w:val="21"/>
          <w:highlight w:val="none"/>
        </w:rPr>
        <w:t>-</w:t>
      </w:r>
      <w:r>
        <w:rPr>
          <w:rFonts w:hint="eastAsia" w:ascii="宋体" w:hAnsi="宋体" w:eastAsia="宋体" w:cs="宋体"/>
          <w:color w:val="auto"/>
          <w:highlight w:val="none"/>
        </w:rPr>
        <w:t>1评标详细程序”的有关规定对投标报价进行修正，</w:t>
      </w:r>
      <w:r>
        <w:rPr>
          <w:rFonts w:hint="eastAsia" w:ascii="宋体" w:hAnsi="宋体" w:eastAsia="宋体" w:cs="宋体"/>
          <w:bCs/>
          <w:color w:val="auto"/>
          <w:highlight w:val="none"/>
        </w:rPr>
        <w:t>并要求投标人作出澄清说明和确认，投标人拒不作出澄清说明和确认的</w:t>
      </w:r>
      <w:r>
        <w:rPr>
          <w:rFonts w:hint="eastAsia" w:ascii="宋体" w:hAnsi="宋体" w:eastAsia="宋体" w:cs="宋体"/>
          <w:color w:val="auto"/>
          <w:highlight w:val="none"/>
        </w:rPr>
        <w:t>；</w:t>
      </w:r>
    </w:p>
    <w:p w14:paraId="029E35F9">
      <w:pPr>
        <w:adjustRightInd w:val="0"/>
        <w:snapToGrid w:val="0"/>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 xml:space="preserve"> </w:t>
      </w:r>
      <w:r>
        <w:rPr>
          <w:rFonts w:hint="eastAsia" w:ascii="宋体" w:hAnsi="宋体" w:eastAsia="宋体" w:cs="宋体"/>
          <w:bCs/>
          <w:color w:val="auto"/>
          <w:highlight w:val="none"/>
        </w:rPr>
        <w:t>投标文件存在弄虚作假或者隐瞒事实，或者未按照招标文件要求如实提供有关情况和文件。被列为中标候选人的，应当取消其中标候选人资格。</w:t>
      </w:r>
    </w:p>
    <w:p w14:paraId="45DF4A1C">
      <w:pPr>
        <w:adjustRightInd w:val="0"/>
        <w:snapToGrid w:val="0"/>
        <w:spacing w:line="360" w:lineRule="auto"/>
        <w:ind w:firstLine="420" w:firstLineChars="200"/>
        <w:rPr>
          <w:rFonts w:hint="eastAsia" w:ascii="宋体" w:hAnsi="宋体" w:eastAsia="宋体" w:cs="宋体"/>
          <w:bCs/>
          <w:color w:val="auto"/>
          <w:highlight w:val="none"/>
        </w:rPr>
      </w:pPr>
    </w:p>
    <w:p w14:paraId="1ECD561F">
      <w:pPr>
        <w:spacing w:line="360" w:lineRule="auto"/>
        <w:ind w:firstLine="420" w:firstLineChars="200"/>
        <w:rPr>
          <w:rFonts w:hint="eastAsia" w:ascii="宋体" w:hAnsi="宋体" w:eastAsia="宋体" w:cs="宋体"/>
          <w:bCs/>
          <w:color w:val="auto"/>
          <w:highlight w:val="none"/>
        </w:rPr>
      </w:pPr>
      <w:r>
        <w:rPr>
          <w:rFonts w:hint="eastAsia" w:ascii="宋体" w:hAnsi="宋体" w:eastAsia="宋体" w:cs="宋体"/>
          <w:bCs/>
          <w:color w:val="auto"/>
          <w:highlight w:val="none"/>
        </w:rPr>
        <w:t xml:space="preserve"> ……</w:t>
      </w:r>
    </w:p>
    <w:p w14:paraId="4306367F">
      <w:pPr>
        <w:adjustRightInd w:val="0"/>
        <w:snapToGrid w:val="0"/>
        <w:spacing w:line="440" w:lineRule="exact"/>
        <w:ind w:left="-441" w:leftChars="-210" w:right="-798" w:rightChars="-380" w:firstLine="441" w:firstLineChars="210"/>
        <w:jc w:val="left"/>
        <w:rPr>
          <w:rFonts w:hint="eastAsia" w:ascii="宋体" w:hAnsi="宋体" w:eastAsia="宋体" w:cs="宋体"/>
          <w:bCs/>
          <w:color w:val="auto"/>
          <w:sz w:val="24"/>
          <w:highlight w:val="none"/>
        </w:rPr>
      </w:pPr>
      <w:r>
        <w:rPr>
          <w:rFonts w:hint="eastAsia" w:ascii="宋体" w:hAnsi="宋体" w:eastAsia="宋体" w:cs="宋体"/>
          <w:color w:val="auto"/>
          <w:szCs w:val="21"/>
          <w:highlight w:val="none"/>
        </w:rPr>
        <w:br w:type="page"/>
      </w:r>
      <w:bookmarkStart w:id="284" w:name="_Toc32198"/>
      <w:bookmarkStart w:id="285" w:name="_Toc300678073"/>
      <w:r>
        <w:rPr>
          <w:rFonts w:hint="eastAsia" w:ascii="宋体" w:hAnsi="宋体" w:eastAsia="宋体" w:cs="宋体"/>
          <w:bCs/>
          <w:color w:val="auto"/>
          <w:sz w:val="24"/>
          <w:highlight w:val="none"/>
        </w:rPr>
        <w:t>附件2-3：投标报价成本评审办法</w:t>
      </w:r>
      <w:bookmarkEnd w:id="284"/>
      <w:bookmarkEnd w:id="285"/>
    </w:p>
    <w:p w14:paraId="65442658">
      <w:pPr>
        <w:spacing w:before="315" w:beforeLines="100" w:after="157" w:afterLines="50" w:line="430" w:lineRule="exact"/>
        <w:jc w:val="center"/>
        <w:outlineLvl w:val="1"/>
        <w:rPr>
          <w:rFonts w:hint="eastAsia" w:ascii="宋体" w:hAnsi="宋体" w:eastAsia="宋体" w:cs="宋体"/>
          <w:color w:val="auto"/>
          <w:sz w:val="28"/>
          <w:szCs w:val="28"/>
          <w:highlight w:val="none"/>
        </w:rPr>
      </w:pPr>
      <w:bookmarkStart w:id="286" w:name="_Toc22449"/>
      <w:bookmarkStart w:id="287" w:name="_Toc31671"/>
      <w:bookmarkStart w:id="288" w:name="_Toc16213"/>
      <w:bookmarkStart w:id="289" w:name="_Toc8391"/>
      <w:bookmarkStart w:id="290" w:name="_Toc20455"/>
      <w:bookmarkStart w:id="291" w:name="_Toc29576"/>
      <w:r>
        <w:rPr>
          <w:rFonts w:hint="eastAsia" w:ascii="宋体" w:hAnsi="宋体" w:eastAsia="宋体" w:cs="宋体"/>
          <w:color w:val="auto"/>
          <w:sz w:val="28"/>
          <w:szCs w:val="28"/>
          <w:highlight w:val="none"/>
        </w:rPr>
        <w:t>投标报价成本评审办法</w:t>
      </w:r>
      <w:bookmarkEnd w:id="286"/>
      <w:bookmarkEnd w:id="287"/>
      <w:bookmarkEnd w:id="288"/>
      <w:bookmarkEnd w:id="289"/>
      <w:bookmarkEnd w:id="290"/>
      <w:bookmarkEnd w:id="291"/>
    </w:p>
    <w:p w14:paraId="2F146384">
      <w:pPr>
        <w:spacing w:line="3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本附件是“评标办法”的组成部分，评标委员会对投标人投标报价成本评审比较时，适用本办法。</w:t>
      </w:r>
    </w:p>
    <w:p w14:paraId="627F205D">
      <w:pPr>
        <w:tabs>
          <w:tab w:val="left" w:pos="312"/>
        </w:tabs>
        <w:spacing w:line="380" w:lineRule="exact"/>
        <w:ind w:firstLine="420" w:firstLineChars="200"/>
        <w:outlineLvl w:val="1"/>
        <w:rPr>
          <w:rFonts w:hint="eastAsia" w:ascii="宋体" w:hAnsi="宋体" w:eastAsia="宋体" w:cs="宋体"/>
          <w:bCs/>
          <w:color w:val="auto"/>
          <w:highlight w:val="none"/>
        </w:rPr>
      </w:pPr>
      <w:bookmarkStart w:id="292" w:name="_Toc5593"/>
      <w:bookmarkStart w:id="293" w:name="_Toc3571"/>
      <w:bookmarkStart w:id="294" w:name="_Toc3704"/>
      <w:bookmarkStart w:id="295" w:name="_Toc19977"/>
      <w:bookmarkStart w:id="296" w:name="_Toc23469"/>
      <w:bookmarkStart w:id="297" w:name="_Toc10996"/>
      <w:r>
        <w:rPr>
          <w:rFonts w:hint="eastAsia" w:ascii="宋体" w:hAnsi="宋体" w:eastAsia="宋体" w:cs="宋体"/>
          <w:bCs/>
          <w:color w:val="auto"/>
          <w:highlight w:val="none"/>
        </w:rPr>
        <w:t>1.启动成本评审工作的前提条件</w:t>
      </w:r>
      <w:bookmarkEnd w:id="292"/>
      <w:bookmarkEnd w:id="293"/>
      <w:bookmarkEnd w:id="294"/>
      <w:bookmarkEnd w:id="295"/>
      <w:bookmarkEnd w:id="296"/>
      <w:bookmarkEnd w:id="297"/>
    </w:p>
    <w:p w14:paraId="57B57725">
      <w:pPr>
        <w:spacing w:line="3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在满足下列</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项条件的前提下，评标委员会应当启动成本评审，以判断投标人的投标报价是否低于其成本：</w:t>
      </w:r>
    </w:p>
    <w:p w14:paraId="54647FD4">
      <w:pPr>
        <w:spacing w:line="3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 投标人的投标文件已经通过“</w:t>
      </w:r>
      <w:r>
        <w:rPr>
          <w:rFonts w:hint="eastAsia" w:ascii="宋体" w:hAnsi="宋体" w:eastAsia="宋体" w:cs="宋体"/>
          <w:color w:val="auto"/>
          <w:highlight w:val="none"/>
          <w:lang w:val="en-US" w:eastAsia="zh-CN"/>
        </w:rPr>
        <w:t>形式、资格、响应性评审</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w:t>
      </w:r>
    </w:p>
    <w:p w14:paraId="6EF4E867">
      <w:pPr>
        <w:spacing w:line="3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1.2 </w:t>
      </w:r>
      <w:r>
        <w:rPr>
          <w:rFonts w:hint="eastAsia" w:ascii="宋体" w:hAnsi="宋体" w:eastAsia="宋体" w:cs="宋体"/>
          <w:color w:val="auto"/>
          <w:highlight w:val="none"/>
        </w:rPr>
        <w:t>投标人的施工组织设计</w:t>
      </w:r>
      <w:r>
        <w:rPr>
          <w:rFonts w:hint="eastAsia" w:ascii="宋体" w:hAnsi="宋体" w:eastAsia="宋体" w:cs="宋体"/>
          <w:color w:val="auto"/>
          <w:highlight w:val="none"/>
          <w:lang w:val="en-US" w:eastAsia="zh-CN"/>
        </w:rPr>
        <w:t>通过合格制</w:t>
      </w:r>
      <w:r>
        <w:rPr>
          <w:rFonts w:hint="eastAsia" w:ascii="宋体" w:hAnsi="宋体" w:eastAsia="宋体" w:cs="宋体"/>
          <w:color w:val="auto"/>
          <w:highlight w:val="none"/>
        </w:rPr>
        <w:t>评审</w:t>
      </w:r>
      <w:r>
        <w:rPr>
          <w:rFonts w:hint="eastAsia" w:ascii="宋体" w:hAnsi="宋体" w:eastAsia="宋体" w:cs="宋体"/>
          <w:color w:val="auto"/>
          <w:highlight w:val="none"/>
          <w:lang w:val="en-US" w:eastAsia="zh-CN"/>
        </w:rPr>
        <w:t>的（如有）；</w:t>
      </w:r>
    </w:p>
    <w:p w14:paraId="1BE2EA39">
      <w:pPr>
        <w:spacing w:line="3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 xml:space="preserve"> 投标人的投标报价低于</w:t>
      </w:r>
      <w:r>
        <w:rPr>
          <w:rFonts w:hint="eastAsia" w:ascii="宋体" w:hAnsi="宋体" w:eastAsia="宋体" w:cs="宋体"/>
          <w:color w:val="auto"/>
          <w:highlight w:val="none"/>
          <w:lang w:val="en-US" w:eastAsia="zh-CN"/>
        </w:rPr>
        <w:t>报价评审警戒线的，报价评审警戒线为</w:t>
      </w:r>
      <w:r>
        <w:rPr>
          <w:rFonts w:hint="eastAsia" w:ascii="宋体" w:hAnsi="宋体" w:eastAsia="宋体" w:cs="宋体"/>
          <w:color w:val="auto"/>
          <w:highlight w:val="none"/>
        </w:rPr>
        <w:t>进入报价评审的合格投标人投标报价算术平均值的95%</w:t>
      </w:r>
      <w:r>
        <w:rPr>
          <w:rFonts w:hint="eastAsia" w:ascii="宋体" w:hAnsi="宋体" w:eastAsia="宋体" w:cs="宋体"/>
          <w:color w:val="auto"/>
          <w:kern w:val="0"/>
          <w:highlight w:val="none"/>
          <w:lang w:eastAsia="zh-CN"/>
        </w:rPr>
        <w:t>。</w:t>
      </w:r>
    </w:p>
    <w:p w14:paraId="39C5386D">
      <w:pPr>
        <w:spacing w:line="380" w:lineRule="exact"/>
        <w:ind w:firstLine="420" w:firstLineChars="200"/>
        <w:outlineLvl w:val="1"/>
        <w:rPr>
          <w:rFonts w:hint="eastAsia" w:ascii="宋体" w:hAnsi="宋体" w:eastAsia="宋体" w:cs="宋体"/>
          <w:bCs/>
          <w:color w:val="auto"/>
          <w:highlight w:val="none"/>
        </w:rPr>
      </w:pPr>
      <w:bookmarkStart w:id="298" w:name="_Toc16062"/>
      <w:bookmarkStart w:id="299" w:name="_Toc15732"/>
      <w:bookmarkStart w:id="300" w:name="_Toc9141"/>
      <w:bookmarkStart w:id="301" w:name="_Toc21486"/>
      <w:bookmarkStart w:id="302" w:name="_Toc24339"/>
      <w:bookmarkStart w:id="303" w:name="_Toc31483"/>
      <w:r>
        <w:rPr>
          <w:rFonts w:hint="eastAsia" w:ascii="宋体" w:hAnsi="宋体" w:eastAsia="宋体" w:cs="宋体"/>
          <w:bCs/>
          <w:color w:val="auto"/>
          <w:highlight w:val="none"/>
        </w:rPr>
        <w:t>2.评审组织工作</w:t>
      </w:r>
      <w:bookmarkEnd w:id="298"/>
      <w:bookmarkEnd w:id="299"/>
      <w:bookmarkEnd w:id="300"/>
      <w:bookmarkEnd w:id="301"/>
      <w:bookmarkEnd w:id="302"/>
      <w:bookmarkEnd w:id="303"/>
    </w:p>
    <w:p w14:paraId="41C00609">
      <w:pPr>
        <w:spacing w:line="380" w:lineRule="exact"/>
        <w:rPr>
          <w:rFonts w:hint="eastAsia" w:ascii="宋体" w:hAnsi="宋体" w:eastAsia="宋体" w:cs="宋体"/>
          <w:bCs/>
          <w:color w:val="auto"/>
          <w:highlight w:val="none"/>
        </w:rPr>
      </w:pPr>
      <w:r>
        <w:rPr>
          <w:rFonts w:hint="eastAsia" w:ascii="宋体" w:hAnsi="宋体" w:eastAsia="宋体" w:cs="宋体"/>
          <w:bCs/>
          <w:color w:val="auto"/>
          <w:highlight w:val="none"/>
        </w:rPr>
        <w:t xml:space="preserve">    由评标委员会经济类专家组织实施</w:t>
      </w:r>
    </w:p>
    <w:p w14:paraId="277CE19D">
      <w:pPr>
        <w:spacing w:line="380" w:lineRule="exact"/>
        <w:ind w:firstLine="420" w:firstLineChars="200"/>
        <w:outlineLvl w:val="1"/>
        <w:rPr>
          <w:rFonts w:hint="eastAsia" w:ascii="宋体" w:hAnsi="宋体" w:eastAsia="宋体" w:cs="宋体"/>
          <w:bCs/>
          <w:color w:val="auto"/>
          <w:highlight w:val="none"/>
        </w:rPr>
      </w:pPr>
      <w:bookmarkStart w:id="304" w:name="_Toc4827"/>
      <w:bookmarkStart w:id="305" w:name="_Toc4589"/>
      <w:bookmarkStart w:id="306" w:name="_Toc24589"/>
      <w:bookmarkStart w:id="307" w:name="_Toc27061"/>
      <w:bookmarkStart w:id="308" w:name="_Toc10365"/>
      <w:bookmarkStart w:id="309" w:name="_Toc2845"/>
      <w:r>
        <w:rPr>
          <w:rFonts w:hint="eastAsia" w:ascii="宋体" w:hAnsi="宋体" w:eastAsia="宋体" w:cs="宋体"/>
          <w:bCs/>
          <w:color w:val="auto"/>
          <w:highlight w:val="none"/>
        </w:rPr>
        <w:t>3.评审方法及标准</w:t>
      </w:r>
      <w:bookmarkEnd w:id="304"/>
      <w:bookmarkEnd w:id="305"/>
      <w:bookmarkEnd w:id="306"/>
      <w:bookmarkEnd w:id="307"/>
      <w:bookmarkEnd w:id="308"/>
      <w:bookmarkEnd w:id="309"/>
    </w:p>
    <w:p w14:paraId="0DCA6FD2">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对低于报价评审警戒线的投标报价按照招标文件规定的重点评审的工程量清单综合单价（含能计量的措施项目）和材料、设备单价（以下简称“重点评审单价”）的评审标准进行评审。</w:t>
      </w:r>
    </w:p>
    <w:p w14:paraId="4E55A967">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重点评审单价评审标准如下：</w:t>
      </w:r>
    </w:p>
    <w:p w14:paraId="70B5E8FD">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（一）房屋建筑总承包工程为最高投标限价的</w:t>
      </w:r>
      <w:r>
        <w:rPr>
          <w:rFonts w:hint="eastAsia" w:ascii="宋体" w:hAnsi="宋体" w:eastAsia="宋体" w:cs="宋体"/>
          <w:color w:val="auto"/>
          <w:kern w:val="0"/>
          <w:highlight w:val="none"/>
          <w:u w:val="single"/>
        </w:rPr>
        <w:t xml:space="preserve"> </w:t>
      </w:r>
      <w:r>
        <w:rPr>
          <w:rFonts w:hint="eastAsia" w:ascii="宋体" w:hAnsi="宋体" w:cs="宋体"/>
          <w:color w:val="auto"/>
          <w:kern w:val="0"/>
          <w:highlight w:val="none"/>
          <w:u w:val="single"/>
          <w:lang w:val="en-US" w:eastAsia="zh-CN"/>
        </w:rPr>
        <w:t xml:space="preserve"> 92%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（90%以上92%以下，具体取值由招标人明确，下同）；</w:t>
      </w:r>
    </w:p>
    <w:p w14:paraId="33922B46">
      <w:pPr>
        <w:adjustRightInd w:val="0"/>
        <w:snapToGrid w:val="0"/>
        <w:spacing w:line="380" w:lineRule="exact"/>
        <w:ind w:firstLine="630" w:firstLineChars="300"/>
        <w:rPr>
          <w:rFonts w:hint="eastAsia" w:ascii="宋体" w:hAnsi="宋体" w:eastAsia="宋体" w:cs="宋体"/>
          <w:color w:val="auto"/>
          <w:kern w:val="0"/>
          <w:highlight w:val="none"/>
        </w:rPr>
      </w:pPr>
      <w:r>
        <w:rPr>
          <w:rFonts w:hint="eastAsia" w:ascii="宋体" w:hAnsi="宋体" w:eastAsia="宋体" w:cs="宋体"/>
          <w:color w:val="auto"/>
          <w:kern w:val="0"/>
          <w:highlight w:val="none"/>
        </w:rPr>
        <w:t>含有装配式建筑的，房屋建筑总承包工程为最高投标限价的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92%以上94%以下）；</w:t>
      </w:r>
    </w:p>
    <w:p w14:paraId="700FAA4A">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（二）市政基础设施总承包工程（轨道交通工程除外）为最高投标限价的</w:t>
      </w:r>
      <w:r>
        <w:rPr>
          <w:rFonts w:hint="eastAsia" w:ascii="宋体" w:hAnsi="宋体" w:eastAsia="宋体" w:cs="宋体"/>
          <w:color w:val="auto"/>
          <w:kern w:val="0"/>
          <w:highlight w:val="none"/>
          <w:u w:val="single"/>
        </w:rPr>
        <w:t xml:space="preserve"> </w:t>
      </w:r>
      <w:r>
        <w:rPr>
          <w:rFonts w:hint="eastAsia" w:ascii="宋体" w:hAnsi="宋体" w:cs="宋体"/>
          <w:b/>
          <w:bCs/>
          <w:color w:val="auto"/>
          <w:kern w:val="0"/>
          <w:highlight w:val="none"/>
          <w:u w:val="single"/>
          <w:lang w:val="en-US" w:eastAsia="zh-CN"/>
        </w:rPr>
        <w:t xml:space="preserve"> </w:t>
      </w:r>
      <w:r>
        <w:rPr>
          <w:rFonts w:hint="eastAsia" w:ascii="宋体" w:hAnsi="宋体" w:eastAsia="宋体" w:cs="宋体"/>
          <w:color w:val="auto"/>
          <w:kern w:val="0"/>
          <w:highlight w:val="none"/>
          <w:u w:val="single"/>
          <w:lang w:val="en-US" w:eastAsia="zh-CN"/>
        </w:rPr>
        <w:t xml:space="preserve">/ </w:t>
      </w:r>
      <w:r>
        <w:rPr>
          <w:rFonts w:hint="eastAsia" w:ascii="宋体" w:hAnsi="宋体" w:cs="宋体"/>
          <w:b/>
          <w:bCs/>
          <w:color w:val="auto"/>
          <w:kern w:val="0"/>
          <w:highlight w:val="none"/>
          <w:u w:val="single"/>
          <w:lang w:val="en-US" w:eastAsia="zh-CN"/>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（85%以上87%以下）；</w:t>
      </w:r>
    </w:p>
    <w:p w14:paraId="6946A1DA">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（三）轨道交通工程为最高投标限价的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（88%以上90%以下）；</w:t>
      </w:r>
    </w:p>
    <w:p w14:paraId="6FE03F44">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（四）单独招标的装饰装修工程为最高投标限价的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（92%以上94%以下）；</w:t>
      </w:r>
    </w:p>
    <w:p w14:paraId="7B4ACC5B">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（五）单独招标的园林景观绿化工程、仿古建筑工程为最高投标限价的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（88%以上90%以下）；</w:t>
      </w:r>
    </w:p>
    <w:p w14:paraId="472DF12D">
      <w:pPr>
        <w:adjustRightInd w:val="0"/>
        <w:snapToGrid w:val="0"/>
        <w:spacing w:line="380" w:lineRule="exact"/>
        <w:ind w:firstLine="420" w:firstLineChars="200"/>
        <w:rPr>
          <w:rFonts w:hint="eastAsia" w:ascii="宋体" w:hAnsi="宋体" w:eastAsia="宋体" w:cs="宋体"/>
          <w:color w:val="auto"/>
          <w:kern w:val="0"/>
          <w:highlight w:val="none"/>
          <w:lang w:eastAsia="zh-CN"/>
        </w:rPr>
      </w:pPr>
      <w:r>
        <w:rPr>
          <w:rFonts w:hint="eastAsia" w:ascii="宋体" w:hAnsi="宋体" w:eastAsia="宋体" w:cs="宋体"/>
          <w:color w:val="auto"/>
          <w:kern w:val="0"/>
          <w:highlight w:val="none"/>
        </w:rPr>
        <w:t>（六）单独招标的安装工程为最高投标限价的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（90%以上92%以下）</w:t>
      </w:r>
      <w:r>
        <w:rPr>
          <w:rFonts w:hint="eastAsia" w:ascii="宋体" w:hAnsi="宋体" w:eastAsia="宋体" w:cs="宋体"/>
          <w:color w:val="auto"/>
          <w:kern w:val="0"/>
          <w:highlight w:val="none"/>
          <w:lang w:eastAsia="zh-CN"/>
        </w:rPr>
        <w:t>；</w:t>
      </w:r>
    </w:p>
    <w:p w14:paraId="7AF289B0">
      <w:pPr>
        <w:adjustRightInd w:val="0"/>
        <w:snapToGrid w:val="0"/>
        <w:spacing w:line="3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en-US" w:eastAsia="zh-CN"/>
        </w:rPr>
        <w:t>七</w:t>
      </w:r>
      <w:r>
        <w:rPr>
          <w:rFonts w:hint="eastAsia" w:ascii="宋体" w:hAnsi="宋体" w:eastAsia="宋体" w:cs="宋体"/>
          <w:color w:val="auto"/>
          <w:kern w:val="0"/>
          <w:highlight w:val="none"/>
        </w:rPr>
        <w:t>）</w:t>
      </w:r>
      <w:r>
        <w:rPr>
          <w:rFonts w:hint="eastAsia" w:ascii="宋体" w:hAnsi="宋体" w:eastAsia="宋体" w:cs="宋体"/>
          <w:color w:val="auto"/>
          <w:kern w:val="0"/>
          <w:highlight w:val="none"/>
          <w:lang w:val="en-US" w:eastAsia="zh-CN"/>
        </w:rPr>
        <w:t>其他工程（未包含在上述工程中的其他工程）为最高投标限价的</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u w:val="single"/>
          <w:lang w:val="en-US" w:eastAsia="zh-CN"/>
        </w:rPr>
        <w:t>/</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（招标人</w:t>
      </w:r>
      <w:r>
        <w:rPr>
          <w:rFonts w:hint="eastAsia" w:ascii="宋体" w:hAnsi="宋体" w:eastAsia="宋体" w:cs="宋体"/>
          <w:color w:val="auto"/>
          <w:kern w:val="0"/>
          <w:highlight w:val="none"/>
          <w:lang w:val="en-US" w:eastAsia="zh-CN"/>
        </w:rPr>
        <w:t>根据项目具体情况</w:t>
      </w:r>
      <w:r>
        <w:rPr>
          <w:rFonts w:hint="eastAsia" w:ascii="宋体" w:hAnsi="宋体" w:eastAsia="宋体" w:cs="宋体"/>
          <w:color w:val="auto"/>
          <w:kern w:val="0"/>
          <w:highlight w:val="none"/>
        </w:rPr>
        <w:t>明确）。</w:t>
      </w:r>
    </w:p>
    <w:p w14:paraId="3B25C64B">
      <w:pPr>
        <w:spacing w:line="380" w:lineRule="exact"/>
        <w:ind w:firstLine="420" w:firstLineChars="200"/>
        <w:outlineLvl w:val="1"/>
        <w:rPr>
          <w:rFonts w:hint="eastAsia" w:ascii="宋体" w:hAnsi="宋体" w:eastAsia="宋体" w:cs="宋体"/>
          <w:bCs/>
          <w:color w:val="auto"/>
          <w:highlight w:val="none"/>
        </w:rPr>
      </w:pPr>
      <w:bookmarkStart w:id="310" w:name="_Toc1631"/>
      <w:bookmarkStart w:id="311" w:name="_Toc23784"/>
      <w:bookmarkStart w:id="312" w:name="_Toc11184"/>
      <w:bookmarkStart w:id="313" w:name="_Toc25881"/>
      <w:bookmarkStart w:id="314" w:name="_Toc30248"/>
      <w:bookmarkStart w:id="315" w:name="_Toc5669"/>
      <w:r>
        <w:rPr>
          <w:rFonts w:hint="eastAsia" w:ascii="宋体" w:hAnsi="宋体" w:eastAsia="宋体" w:cs="宋体"/>
          <w:bCs/>
          <w:color w:val="auto"/>
          <w:highlight w:val="none"/>
        </w:rPr>
        <w:t>4.低于投标成本报价竞争行为的确认</w:t>
      </w:r>
      <w:bookmarkEnd w:id="310"/>
      <w:bookmarkEnd w:id="311"/>
      <w:bookmarkEnd w:id="312"/>
      <w:bookmarkEnd w:id="313"/>
      <w:bookmarkEnd w:id="314"/>
      <w:bookmarkEnd w:id="315"/>
    </w:p>
    <w:p w14:paraId="22ADE4A3">
      <w:pPr>
        <w:adjustRightInd w:val="0"/>
        <w:snapToGrid w:val="0"/>
        <w:spacing w:line="3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（一）重点评审单价中，任意一项低于评审标准（不含本数）的，应当认定该投标人以低于成本报价竞争，否决其投标。</w:t>
      </w:r>
    </w:p>
    <w:p w14:paraId="0112F1BE">
      <w:pPr>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（二）有下列情形之一的，应当判定为以低于成本报价竞争，否决其投标。</w:t>
      </w:r>
    </w:p>
    <w:p w14:paraId="0EF165C2">
      <w:pPr>
        <w:ind w:firstLine="420" w:firstLineChars="200"/>
        <w:rPr>
          <w:rFonts w:hint="eastAsia" w:ascii="宋体" w:hAnsi="宋体" w:eastAsia="宋体" w:cs="宋体"/>
          <w:color w:val="auto"/>
          <w:szCs w:val="32"/>
          <w:highlight w:val="none"/>
          <w:lang w:val="en-US" w:eastAsia="zh-CN"/>
        </w:rPr>
      </w:pPr>
      <w:r>
        <w:rPr>
          <w:rFonts w:hint="eastAsia" w:ascii="宋体" w:hAnsi="宋体" w:eastAsia="宋体" w:cs="宋体"/>
          <w:color w:val="auto"/>
          <w:szCs w:val="32"/>
          <w:highlight w:val="none"/>
          <w:lang w:val="en-US" w:eastAsia="zh-CN"/>
        </w:rPr>
        <w:t>①</w:t>
      </w:r>
      <w:r>
        <w:rPr>
          <w:rFonts w:hint="eastAsia" w:ascii="宋体" w:hAnsi="宋体" w:eastAsia="宋体" w:cs="宋体"/>
          <w:color w:val="auto"/>
          <w:szCs w:val="32"/>
          <w:highlight w:val="none"/>
        </w:rPr>
        <w:t>经评审论证，认定该投标人的报价低于成本的；</w:t>
      </w:r>
    </w:p>
    <w:p w14:paraId="3AEF9369">
      <w:pPr>
        <w:adjustRightInd w:val="0"/>
        <w:snapToGrid w:val="0"/>
        <w:spacing w:line="3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32"/>
          <w:highlight w:val="none"/>
          <w:lang w:val="en-US" w:eastAsia="zh-CN"/>
        </w:rPr>
        <w:t>②</w:t>
      </w:r>
      <w:r>
        <w:rPr>
          <w:rFonts w:hint="eastAsia" w:ascii="宋体" w:hAnsi="宋体" w:eastAsia="宋体" w:cs="宋体"/>
          <w:color w:val="auto"/>
          <w:szCs w:val="32"/>
          <w:highlight w:val="none"/>
        </w:rPr>
        <w:t>投标报价明显低于其他投标报价，有可能低于成本的，应当要求投标人</w:t>
      </w:r>
      <w:r>
        <w:rPr>
          <w:rFonts w:hint="eastAsia" w:ascii="宋体" w:hAnsi="宋体" w:eastAsia="宋体" w:cs="宋体"/>
          <w:color w:val="auto"/>
          <w:highlight w:val="none"/>
        </w:rPr>
        <w:t>作出</w:t>
      </w:r>
      <w:r>
        <w:rPr>
          <w:rFonts w:hint="eastAsia" w:ascii="宋体" w:hAnsi="宋体" w:eastAsia="宋体" w:cs="宋体"/>
          <w:color w:val="auto"/>
          <w:szCs w:val="32"/>
          <w:highlight w:val="none"/>
        </w:rPr>
        <w:t>说明并提供相关材料。投标人不能合理说明或者不能提供相关证明材料的，应当认定该投标人的报价低于成本。</w:t>
      </w:r>
    </w:p>
    <w:p w14:paraId="1F6A9FCC">
      <w:pPr>
        <w:spacing w:line="380" w:lineRule="exact"/>
        <w:rPr>
          <w:rFonts w:hint="eastAsia" w:ascii="宋体" w:hAnsi="宋体" w:eastAsia="宋体" w:cs="宋体"/>
          <w:bCs/>
          <w:color w:val="auto"/>
          <w:highlight w:val="none"/>
        </w:rPr>
      </w:pPr>
      <w:r>
        <w:rPr>
          <w:rFonts w:hint="eastAsia" w:ascii="宋体" w:hAnsi="宋体" w:eastAsia="宋体" w:cs="宋体"/>
          <w:bCs/>
          <w:color w:val="auto"/>
          <w:highlight w:val="none"/>
        </w:rPr>
        <w:t xml:space="preserve">   评标委员会将认定投标人以低于成本报价竞争等情况作出详细说明并记录在案。</w:t>
      </w:r>
      <w:bookmarkEnd w:id="281"/>
      <w:bookmarkStart w:id="316" w:name="_Toc300678059"/>
    </w:p>
    <w:p w14:paraId="027BE5BE">
      <w:pPr>
        <w:widowControl/>
        <w:jc w:val="left"/>
        <w:outlineLvl w:val="1"/>
        <w:rPr>
          <w:rFonts w:hint="eastAsia" w:ascii="宋体" w:hAnsi="宋体" w:eastAsia="宋体" w:cs="宋体"/>
          <w:color w:val="auto"/>
          <w:szCs w:val="21"/>
          <w:highlight w:val="none"/>
        </w:rPr>
      </w:pPr>
      <w:r>
        <w:rPr>
          <w:rFonts w:hint="eastAsia" w:ascii="宋体" w:hAnsi="宋体" w:eastAsia="宋体" w:cs="宋体"/>
          <w:color w:val="auto"/>
          <w:sz w:val="30"/>
          <w:szCs w:val="30"/>
          <w:highlight w:val="none"/>
        </w:rPr>
        <w:t xml:space="preserve"> </w:t>
      </w:r>
      <w:r>
        <w:rPr>
          <w:rFonts w:hint="eastAsia" w:ascii="宋体" w:hAnsi="宋体" w:eastAsia="宋体" w:cs="宋体"/>
          <w:color w:val="auto"/>
          <w:szCs w:val="21"/>
          <w:highlight w:val="none"/>
        </w:rPr>
        <w:t xml:space="preserve">  </w:t>
      </w:r>
      <w:bookmarkStart w:id="317" w:name="_Toc21454"/>
      <w:bookmarkStart w:id="318" w:name="_Toc29850"/>
      <w:bookmarkStart w:id="319" w:name="_Toc14310"/>
      <w:bookmarkStart w:id="320" w:name="_Toc23791"/>
      <w:bookmarkStart w:id="321" w:name="_Toc24915"/>
      <w:bookmarkStart w:id="322" w:name="_Toc4884"/>
      <w:r>
        <w:rPr>
          <w:rFonts w:hint="eastAsia" w:ascii="宋体" w:hAnsi="宋体" w:eastAsia="宋体" w:cs="宋体"/>
          <w:color w:val="auto"/>
          <w:szCs w:val="21"/>
          <w:highlight w:val="none"/>
        </w:rPr>
        <w:t>5.本方法所称的“以下”、“以上”均含本数。</w:t>
      </w:r>
      <w:bookmarkEnd w:id="317"/>
      <w:bookmarkEnd w:id="318"/>
      <w:bookmarkEnd w:id="319"/>
      <w:bookmarkEnd w:id="320"/>
      <w:bookmarkEnd w:id="321"/>
      <w:bookmarkEnd w:id="322"/>
    </w:p>
    <w:p w14:paraId="02C87565">
      <w:pPr>
        <w:widowControl/>
        <w:jc w:val="left"/>
        <w:rPr>
          <w:rStyle w:val="62"/>
          <w:rFonts w:hint="eastAsia" w:ascii="宋体" w:hAnsi="宋体" w:eastAsia="宋体" w:cs="宋体"/>
          <w:b w:val="0"/>
          <w:color w:val="auto"/>
          <w:sz w:val="24"/>
          <w:highlight w:val="none"/>
        </w:rPr>
      </w:pPr>
    </w:p>
    <w:p w14:paraId="77EB5D65">
      <w:pPr>
        <w:widowControl/>
        <w:jc w:val="left"/>
        <w:rPr>
          <w:rStyle w:val="62"/>
          <w:rFonts w:hint="eastAsia" w:ascii="宋体" w:hAnsi="宋体" w:eastAsia="宋体" w:cs="宋体"/>
          <w:b w:val="0"/>
          <w:color w:val="auto"/>
          <w:sz w:val="24"/>
          <w:highlight w:val="none"/>
        </w:rPr>
      </w:pPr>
    </w:p>
    <w:p w14:paraId="518745BD">
      <w:pPr>
        <w:widowControl/>
        <w:jc w:val="left"/>
        <w:rPr>
          <w:rStyle w:val="62"/>
          <w:rFonts w:hint="eastAsia" w:ascii="宋体" w:hAnsi="宋体" w:eastAsia="宋体" w:cs="宋体"/>
          <w:b w:val="0"/>
          <w:color w:val="auto"/>
          <w:sz w:val="24"/>
          <w:highlight w:val="none"/>
        </w:rPr>
      </w:pPr>
    </w:p>
    <w:p w14:paraId="414F678E">
      <w:pPr>
        <w:widowControl/>
        <w:jc w:val="left"/>
        <w:rPr>
          <w:rStyle w:val="62"/>
          <w:rFonts w:hint="eastAsia" w:ascii="宋体" w:hAnsi="宋体" w:eastAsia="宋体" w:cs="宋体"/>
          <w:b w:val="0"/>
          <w:color w:val="auto"/>
          <w:sz w:val="24"/>
          <w:highlight w:val="none"/>
        </w:rPr>
      </w:pPr>
    </w:p>
    <w:p w14:paraId="538ED5DB">
      <w:pPr>
        <w:widowControl/>
        <w:jc w:val="left"/>
        <w:rPr>
          <w:rStyle w:val="62"/>
          <w:rFonts w:hint="eastAsia" w:ascii="宋体" w:hAnsi="宋体" w:eastAsia="宋体" w:cs="宋体"/>
          <w:b w:val="0"/>
          <w:color w:val="auto"/>
          <w:sz w:val="24"/>
          <w:highlight w:val="none"/>
        </w:rPr>
      </w:pPr>
    </w:p>
    <w:p w14:paraId="63277BFC">
      <w:pPr>
        <w:widowControl/>
        <w:jc w:val="left"/>
        <w:rPr>
          <w:rStyle w:val="62"/>
          <w:rFonts w:hint="eastAsia" w:ascii="宋体" w:hAnsi="宋体" w:eastAsia="宋体" w:cs="宋体"/>
          <w:b w:val="0"/>
          <w:color w:val="auto"/>
          <w:sz w:val="24"/>
          <w:highlight w:val="none"/>
        </w:rPr>
      </w:pPr>
    </w:p>
    <w:p w14:paraId="0D39FF3B">
      <w:pPr>
        <w:widowControl/>
        <w:jc w:val="left"/>
        <w:rPr>
          <w:rStyle w:val="62"/>
          <w:rFonts w:hint="eastAsia" w:ascii="宋体" w:hAnsi="宋体" w:eastAsia="宋体" w:cs="宋体"/>
          <w:b w:val="0"/>
          <w:color w:val="auto"/>
          <w:sz w:val="24"/>
          <w:highlight w:val="none"/>
        </w:rPr>
      </w:pPr>
    </w:p>
    <w:p w14:paraId="6EC49E1B">
      <w:pPr>
        <w:widowControl/>
        <w:jc w:val="left"/>
        <w:outlineLvl w:val="0"/>
        <w:rPr>
          <w:rStyle w:val="62"/>
          <w:rFonts w:hint="eastAsia" w:ascii="宋体" w:hAnsi="宋体" w:eastAsia="宋体" w:cs="宋体"/>
          <w:b w:val="0"/>
          <w:color w:val="auto"/>
          <w:sz w:val="24"/>
          <w:highlight w:val="none"/>
        </w:rPr>
      </w:pPr>
      <w:bookmarkStart w:id="323" w:name="_Toc22983"/>
      <w:bookmarkStart w:id="324" w:name="_Toc9155"/>
      <w:bookmarkStart w:id="325" w:name="_Toc8006"/>
      <w:bookmarkStart w:id="326" w:name="_Toc13054"/>
      <w:bookmarkStart w:id="327" w:name="_Toc5869"/>
      <w:bookmarkStart w:id="328" w:name="_Toc15513"/>
      <w:r>
        <w:rPr>
          <w:rStyle w:val="62"/>
          <w:rFonts w:hint="eastAsia" w:ascii="宋体" w:hAnsi="宋体" w:eastAsia="宋体" w:cs="宋体"/>
          <w:b w:val="0"/>
          <w:color w:val="auto"/>
          <w:sz w:val="24"/>
          <w:highlight w:val="none"/>
        </w:rPr>
        <w:t>附件2-4：计算机辅助评标办法</w:t>
      </w:r>
      <w:bookmarkEnd w:id="323"/>
      <w:bookmarkEnd w:id="324"/>
      <w:bookmarkEnd w:id="325"/>
      <w:bookmarkEnd w:id="326"/>
      <w:bookmarkEnd w:id="327"/>
      <w:bookmarkEnd w:id="328"/>
    </w:p>
    <w:p w14:paraId="0A700DF7">
      <w:pPr>
        <w:widowControl/>
        <w:jc w:val="left"/>
        <w:rPr>
          <w:rFonts w:hint="eastAsia" w:ascii="宋体" w:hAnsi="宋体" w:eastAsia="宋体" w:cs="宋体"/>
          <w:color w:val="auto"/>
          <w:sz w:val="30"/>
          <w:szCs w:val="30"/>
          <w:highlight w:val="none"/>
        </w:rPr>
      </w:pPr>
    </w:p>
    <w:p w14:paraId="15BAEAE7">
      <w:pPr>
        <w:snapToGrid w:val="0"/>
        <w:spacing w:line="360" w:lineRule="auto"/>
        <w:jc w:val="left"/>
        <w:rPr>
          <w:rStyle w:val="62"/>
          <w:rFonts w:hint="eastAsia" w:ascii="宋体" w:hAnsi="宋体" w:eastAsia="宋体" w:cs="宋体"/>
          <w:b w:val="0"/>
          <w:color w:val="auto"/>
          <w:sz w:val="28"/>
          <w:highlight w:val="none"/>
        </w:rPr>
      </w:pPr>
      <w:r>
        <w:rPr>
          <w:rFonts w:hint="eastAsia" w:ascii="宋体" w:hAnsi="宋体" w:eastAsia="宋体" w:cs="宋体"/>
          <w:color w:val="auto"/>
          <w:sz w:val="30"/>
          <w:szCs w:val="30"/>
          <w:highlight w:val="none"/>
        </w:rPr>
        <w:t xml:space="preserve">                  </w:t>
      </w:r>
      <w:r>
        <w:rPr>
          <w:rFonts w:hint="eastAsia" w:ascii="宋体" w:hAnsi="宋体" w:eastAsia="宋体" w:cs="宋体"/>
          <w:color w:val="auto"/>
          <w:sz w:val="28"/>
          <w:szCs w:val="28"/>
          <w:highlight w:val="none"/>
        </w:rPr>
        <w:t xml:space="preserve">    </w:t>
      </w:r>
      <w:bookmarkStart w:id="329" w:name="_Toc8483"/>
      <w:r>
        <w:rPr>
          <w:rStyle w:val="62"/>
          <w:rFonts w:hint="eastAsia" w:ascii="宋体" w:hAnsi="宋体" w:eastAsia="宋体" w:cs="宋体"/>
          <w:b w:val="0"/>
          <w:color w:val="auto"/>
          <w:sz w:val="28"/>
          <w:highlight w:val="none"/>
        </w:rPr>
        <w:t>计算机辅助评标办法</w:t>
      </w:r>
      <w:bookmarkEnd w:id="329"/>
    </w:p>
    <w:p w14:paraId="3B3293DC">
      <w:pPr>
        <w:snapToGrid w:val="0"/>
        <w:spacing w:line="360" w:lineRule="auto"/>
        <w:jc w:val="left"/>
        <w:rPr>
          <w:rStyle w:val="62"/>
          <w:rFonts w:hint="eastAsia" w:ascii="宋体" w:hAnsi="宋体" w:eastAsia="宋体" w:cs="宋体"/>
          <w:b w:val="0"/>
          <w:color w:val="auto"/>
          <w:sz w:val="28"/>
          <w:highlight w:val="none"/>
        </w:rPr>
      </w:pPr>
    </w:p>
    <w:p w14:paraId="10C2CC71">
      <w:pPr>
        <w:snapToGrid w:val="0"/>
        <w:spacing w:line="360" w:lineRule="auto"/>
        <w:jc w:val="left"/>
        <w:rPr>
          <w:rStyle w:val="62"/>
          <w:rFonts w:hint="eastAsia" w:ascii="宋体" w:hAnsi="宋体" w:eastAsia="宋体" w:cs="宋体"/>
          <w:b w:val="0"/>
          <w:color w:val="auto"/>
          <w:sz w:val="28"/>
          <w:highlight w:val="none"/>
        </w:rPr>
      </w:pPr>
      <w:r>
        <w:rPr>
          <w:rStyle w:val="62"/>
          <w:rFonts w:hint="eastAsia" w:ascii="宋体" w:hAnsi="宋体" w:eastAsia="宋体" w:cs="宋体"/>
          <w:b w:val="0"/>
          <w:color w:val="auto"/>
          <w:sz w:val="28"/>
          <w:highlight w:val="none"/>
        </w:rPr>
        <w:t xml:space="preserve"> </w:t>
      </w:r>
      <w:r>
        <w:rPr>
          <w:rStyle w:val="62"/>
          <w:rFonts w:hint="eastAsia" w:ascii="宋体" w:hAnsi="宋体" w:eastAsia="宋体" w:cs="宋体"/>
          <w:b w:val="0"/>
          <w:bCs w:val="0"/>
          <w:color w:val="auto"/>
          <w:sz w:val="28"/>
          <w:highlight w:val="none"/>
        </w:rPr>
        <w:t xml:space="preserve"> </w:t>
      </w:r>
      <w:r>
        <w:rPr>
          <w:rStyle w:val="62"/>
          <w:rFonts w:hint="eastAsia" w:ascii="宋体" w:hAnsi="宋体" w:eastAsia="宋体" w:cs="宋体"/>
          <w:b w:val="0"/>
          <w:bCs w:val="0"/>
          <w:color w:val="auto"/>
          <w:szCs w:val="21"/>
          <w:highlight w:val="none"/>
        </w:rPr>
        <w:t>说明：</w:t>
      </w:r>
      <w:r>
        <w:rPr>
          <w:rStyle w:val="62"/>
          <w:rFonts w:hint="eastAsia" w:ascii="宋体" w:hAnsi="宋体" w:eastAsia="宋体" w:cs="宋体"/>
          <w:b w:val="0"/>
          <w:color w:val="auto"/>
          <w:szCs w:val="21"/>
          <w:highlight w:val="none"/>
        </w:rPr>
        <w:t>本附件的具体内容根据招标项目的具体情况自行编写</w:t>
      </w:r>
    </w:p>
    <w:p w14:paraId="3F077EFB">
      <w:pPr>
        <w:widowControl/>
        <w:ind w:firstLine="1800" w:firstLineChars="600"/>
        <w:jc w:val="left"/>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无</w:t>
      </w:r>
    </w:p>
    <w:p w14:paraId="5148B12A">
      <w:pPr>
        <w:widowControl/>
        <w:jc w:val="left"/>
        <w:rPr>
          <w:rFonts w:hint="eastAsia" w:ascii="宋体" w:hAnsi="宋体" w:eastAsia="宋体" w:cs="宋体"/>
          <w:color w:val="auto"/>
          <w:sz w:val="30"/>
          <w:szCs w:val="30"/>
          <w:highlight w:val="none"/>
        </w:rPr>
      </w:pPr>
    </w:p>
    <w:p w14:paraId="2A1873FC">
      <w:pPr>
        <w:snapToGrid w:val="0"/>
        <w:spacing w:line="360" w:lineRule="auto"/>
        <w:jc w:val="left"/>
        <w:rPr>
          <w:rStyle w:val="62"/>
          <w:rFonts w:hint="eastAsia" w:ascii="宋体" w:hAnsi="宋体" w:eastAsia="宋体" w:cs="宋体"/>
          <w:b w:val="0"/>
          <w:color w:val="auto"/>
          <w:sz w:val="24"/>
          <w:highlight w:val="none"/>
        </w:rPr>
      </w:pPr>
    </w:p>
    <w:p w14:paraId="43A90648">
      <w:pPr>
        <w:snapToGrid w:val="0"/>
        <w:spacing w:line="360" w:lineRule="auto"/>
        <w:jc w:val="left"/>
        <w:rPr>
          <w:rStyle w:val="62"/>
          <w:rFonts w:hint="eastAsia" w:ascii="宋体" w:hAnsi="宋体" w:eastAsia="宋体" w:cs="宋体"/>
          <w:b w:val="0"/>
          <w:color w:val="auto"/>
          <w:sz w:val="24"/>
          <w:highlight w:val="none"/>
        </w:rPr>
      </w:pPr>
    </w:p>
    <w:p w14:paraId="76E3A099">
      <w:pPr>
        <w:snapToGrid w:val="0"/>
        <w:spacing w:line="360" w:lineRule="auto"/>
        <w:jc w:val="left"/>
        <w:rPr>
          <w:rStyle w:val="62"/>
          <w:rFonts w:hint="eastAsia" w:ascii="宋体" w:hAnsi="宋体" w:eastAsia="宋体" w:cs="宋体"/>
          <w:b w:val="0"/>
          <w:color w:val="auto"/>
          <w:sz w:val="24"/>
          <w:highlight w:val="none"/>
        </w:rPr>
      </w:pPr>
    </w:p>
    <w:p w14:paraId="4A0AC11D">
      <w:pPr>
        <w:snapToGrid w:val="0"/>
        <w:spacing w:line="360" w:lineRule="auto"/>
        <w:jc w:val="left"/>
        <w:rPr>
          <w:rStyle w:val="62"/>
          <w:rFonts w:hint="eastAsia" w:ascii="宋体" w:hAnsi="宋体" w:eastAsia="宋体" w:cs="宋体"/>
          <w:b w:val="0"/>
          <w:color w:val="auto"/>
          <w:sz w:val="24"/>
          <w:highlight w:val="none"/>
        </w:rPr>
      </w:pPr>
    </w:p>
    <w:p w14:paraId="16DD44A5">
      <w:pPr>
        <w:snapToGrid w:val="0"/>
        <w:spacing w:line="360" w:lineRule="auto"/>
        <w:jc w:val="left"/>
        <w:rPr>
          <w:rStyle w:val="62"/>
          <w:rFonts w:hint="eastAsia" w:ascii="宋体" w:hAnsi="宋体" w:eastAsia="宋体" w:cs="宋体"/>
          <w:b w:val="0"/>
          <w:color w:val="auto"/>
          <w:sz w:val="24"/>
          <w:highlight w:val="none"/>
        </w:rPr>
      </w:pPr>
    </w:p>
    <w:p w14:paraId="5D1AC527">
      <w:pPr>
        <w:pStyle w:val="2"/>
        <w:rPr>
          <w:rStyle w:val="62"/>
          <w:rFonts w:hint="eastAsia" w:ascii="宋体" w:hAnsi="宋体" w:eastAsia="宋体" w:cs="宋体"/>
          <w:b w:val="0"/>
          <w:color w:val="auto"/>
          <w:sz w:val="24"/>
          <w:highlight w:val="none"/>
        </w:rPr>
      </w:pPr>
    </w:p>
    <w:p w14:paraId="721AB1E2">
      <w:pPr>
        <w:pStyle w:val="3"/>
        <w:rPr>
          <w:rStyle w:val="62"/>
          <w:rFonts w:hint="eastAsia" w:ascii="宋体" w:hAnsi="宋体" w:eastAsia="宋体" w:cs="宋体"/>
          <w:b w:val="0"/>
          <w:color w:val="auto"/>
          <w:sz w:val="24"/>
          <w:highlight w:val="none"/>
        </w:rPr>
      </w:pPr>
    </w:p>
    <w:p w14:paraId="52273242">
      <w:pPr>
        <w:pStyle w:val="4"/>
        <w:rPr>
          <w:rStyle w:val="62"/>
          <w:rFonts w:hint="eastAsia" w:ascii="宋体" w:hAnsi="宋体" w:eastAsia="宋体" w:cs="宋体"/>
          <w:b w:val="0"/>
          <w:color w:val="auto"/>
          <w:sz w:val="24"/>
          <w:highlight w:val="none"/>
        </w:rPr>
      </w:pPr>
    </w:p>
    <w:p w14:paraId="5728081D">
      <w:pPr>
        <w:pStyle w:val="5"/>
        <w:rPr>
          <w:rStyle w:val="62"/>
          <w:rFonts w:hint="eastAsia" w:ascii="宋体" w:hAnsi="宋体" w:eastAsia="宋体" w:cs="宋体"/>
          <w:b w:val="0"/>
          <w:color w:val="auto"/>
          <w:sz w:val="24"/>
          <w:highlight w:val="none"/>
        </w:rPr>
      </w:pPr>
    </w:p>
    <w:p w14:paraId="2A75653F">
      <w:pPr>
        <w:pStyle w:val="6"/>
        <w:rPr>
          <w:rStyle w:val="62"/>
          <w:rFonts w:hint="eastAsia" w:ascii="宋体" w:hAnsi="宋体" w:eastAsia="宋体" w:cs="宋体"/>
          <w:b w:val="0"/>
          <w:color w:val="auto"/>
          <w:sz w:val="24"/>
          <w:highlight w:val="none"/>
        </w:rPr>
      </w:pPr>
    </w:p>
    <w:p w14:paraId="720D7035">
      <w:pPr>
        <w:rPr>
          <w:rStyle w:val="62"/>
          <w:rFonts w:hint="eastAsia" w:ascii="宋体" w:hAnsi="宋体" w:eastAsia="宋体" w:cs="宋体"/>
          <w:b w:val="0"/>
          <w:color w:val="auto"/>
          <w:sz w:val="24"/>
          <w:highlight w:val="none"/>
        </w:rPr>
      </w:pPr>
    </w:p>
    <w:p w14:paraId="01581F20">
      <w:pPr>
        <w:pStyle w:val="2"/>
        <w:rPr>
          <w:rStyle w:val="62"/>
          <w:rFonts w:hint="eastAsia" w:ascii="宋体" w:hAnsi="宋体" w:eastAsia="宋体" w:cs="宋体"/>
          <w:b w:val="0"/>
          <w:color w:val="auto"/>
          <w:sz w:val="24"/>
          <w:highlight w:val="none"/>
        </w:rPr>
      </w:pPr>
    </w:p>
    <w:p w14:paraId="316F2E20">
      <w:pPr>
        <w:pStyle w:val="3"/>
        <w:rPr>
          <w:rStyle w:val="62"/>
          <w:rFonts w:hint="eastAsia" w:ascii="宋体" w:hAnsi="宋体" w:eastAsia="宋体" w:cs="宋体"/>
          <w:b w:val="0"/>
          <w:color w:val="auto"/>
          <w:sz w:val="24"/>
          <w:highlight w:val="none"/>
        </w:rPr>
      </w:pPr>
    </w:p>
    <w:p w14:paraId="4A9E35C5">
      <w:pPr>
        <w:pStyle w:val="4"/>
        <w:rPr>
          <w:rStyle w:val="62"/>
          <w:rFonts w:hint="eastAsia" w:ascii="宋体" w:hAnsi="宋体" w:eastAsia="宋体" w:cs="宋体"/>
          <w:b w:val="0"/>
          <w:color w:val="auto"/>
          <w:sz w:val="24"/>
          <w:highlight w:val="none"/>
        </w:rPr>
      </w:pPr>
    </w:p>
    <w:p w14:paraId="0589BBA8">
      <w:pPr>
        <w:pStyle w:val="5"/>
        <w:rPr>
          <w:rStyle w:val="62"/>
          <w:rFonts w:hint="eastAsia" w:ascii="宋体" w:hAnsi="宋体" w:eastAsia="宋体" w:cs="宋体"/>
          <w:b w:val="0"/>
          <w:color w:val="auto"/>
          <w:sz w:val="24"/>
          <w:highlight w:val="none"/>
        </w:rPr>
      </w:pPr>
    </w:p>
    <w:p w14:paraId="3F18B6AB">
      <w:pPr>
        <w:pStyle w:val="6"/>
        <w:rPr>
          <w:rStyle w:val="62"/>
          <w:rFonts w:hint="eastAsia" w:ascii="宋体" w:hAnsi="宋体" w:eastAsia="宋体" w:cs="宋体"/>
          <w:b w:val="0"/>
          <w:color w:val="auto"/>
          <w:sz w:val="24"/>
          <w:highlight w:val="none"/>
        </w:rPr>
      </w:pPr>
    </w:p>
    <w:p w14:paraId="2D6B9193">
      <w:pPr>
        <w:rPr>
          <w:rStyle w:val="62"/>
          <w:rFonts w:hint="eastAsia" w:ascii="宋体" w:hAnsi="宋体" w:eastAsia="宋体" w:cs="宋体"/>
          <w:b w:val="0"/>
          <w:color w:val="auto"/>
          <w:sz w:val="24"/>
          <w:highlight w:val="none"/>
        </w:rPr>
      </w:pPr>
    </w:p>
    <w:p w14:paraId="12B3FD3A">
      <w:pPr>
        <w:pStyle w:val="2"/>
        <w:rPr>
          <w:rFonts w:hint="eastAsia"/>
          <w:color w:val="auto"/>
        </w:rPr>
      </w:pPr>
    </w:p>
    <w:p w14:paraId="0F1D3DE6">
      <w:pPr>
        <w:snapToGrid w:val="0"/>
        <w:spacing w:line="360" w:lineRule="auto"/>
        <w:jc w:val="left"/>
        <w:rPr>
          <w:rStyle w:val="62"/>
          <w:rFonts w:hint="eastAsia" w:ascii="宋体" w:hAnsi="宋体" w:eastAsia="宋体" w:cs="宋体"/>
          <w:b w:val="0"/>
          <w:color w:val="auto"/>
          <w:sz w:val="24"/>
          <w:highlight w:val="none"/>
        </w:rPr>
      </w:pPr>
      <w:bookmarkStart w:id="330" w:name="_Toc17372"/>
      <w:r>
        <w:rPr>
          <w:rStyle w:val="62"/>
          <w:rFonts w:hint="eastAsia" w:ascii="宋体" w:hAnsi="宋体" w:eastAsia="宋体" w:cs="宋体"/>
          <w:b w:val="0"/>
          <w:color w:val="auto"/>
          <w:sz w:val="24"/>
          <w:highlight w:val="none"/>
        </w:rPr>
        <w:t>附件2-5：评定分离工作方案</w:t>
      </w:r>
      <w:bookmarkEnd w:id="330"/>
    </w:p>
    <w:p w14:paraId="0EDC57B9">
      <w:pPr>
        <w:widowControl/>
        <w:jc w:val="left"/>
        <w:rPr>
          <w:rFonts w:hint="eastAsia" w:ascii="宋体" w:hAnsi="宋体" w:eastAsia="宋体" w:cs="宋体"/>
          <w:color w:val="auto"/>
          <w:sz w:val="30"/>
          <w:szCs w:val="30"/>
          <w:highlight w:val="none"/>
        </w:rPr>
      </w:pPr>
    </w:p>
    <w:p w14:paraId="49C1B246">
      <w:pPr>
        <w:widowControl/>
        <w:jc w:val="left"/>
        <w:rPr>
          <w:rFonts w:hint="eastAsia" w:ascii="宋体" w:hAnsi="宋体" w:eastAsia="宋体" w:cs="宋体"/>
          <w:color w:val="auto"/>
          <w:sz w:val="30"/>
          <w:szCs w:val="30"/>
          <w:highlight w:val="none"/>
        </w:rPr>
      </w:pPr>
    </w:p>
    <w:p w14:paraId="584EDA19">
      <w:pPr>
        <w:snapToGrid w:val="0"/>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t xml:space="preserve">                  </w:t>
      </w:r>
      <w:r>
        <w:rPr>
          <w:rFonts w:hint="eastAsia" w:ascii="宋体" w:hAnsi="宋体" w:eastAsia="宋体" w:cs="宋体"/>
          <w:color w:val="auto"/>
          <w:sz w:val="28"/>
          <w:szCs w:val="28"/>
          <w:highlight w:val="none"/>
        </w:rPr>
        <w:t xml:space="preserve">     </w:t>
      </w:r>
      <w:bookmarkStart w:id="331" w:name="_Toc6610"/>
      <w:r>
        <w:rPr>
          <w:rFonts w:hint="eastAsia" w:ascii="宋体" w:hAnsi="宋体" w:eastAsia="宋体" w:cs="宋体"/>
          <w:color w:val="auto"/>
          <w:sz w:val="28"/>
          <w:szCs w:val="28"/>
          <w:highlight w:val="none"/>
        </w:rPr>
        <w:t>□评定分离工作方案</w:t>
      </w:r>
      <w:bookmarkEnd w:id="331"/>
    </w:p>
    <w:p w14:paraId="6550CFBC">
      <w:pPr>
        <w:snapToGrid w:val="0"/>
        <w:spacing w:line="360" w:lineRule="auto"/>
        <w:jc w:val="center"/>
        <w:rPr>
          <w:rStyle w:val="62"/>
          <w:rFonts w:hint="eastAsia" w:ascii="宋体" w:hAnsi="宋体" w:eastAsia="宋体" w:cs="宋体"/>
          <w:b w:val="0"/>
          <w:color w:val="auto"/>
          <w:sz w:val="28"/>
          <w:highlight w:val="none"/>
        </w:rPr>
      </w:pPr>
      <w:bookmarkStart w:id="332" w:name="_Toc5888"/>
      <w:r>
        <w:rPr>
          <w:rFonts w:hint="eastAsia" w:ascii="宋体" w:hAnsi="宋体" w:eastAsia="宋体" w:cs="宋体"/>
          <w:color w:val="auto"/>
          <w:sz w:val="28"/>
          <w:szCs w:val="28"/>
          <w:highlight w:val="none"/>
        </w:rPr>
        <w:t>（适用采用评定分离方式确定中标人的项目）</w:t>
      </w:r>
      <w:bookmarkEnd w:id="332"/>
    </w:p>
    <w:p w14:paraId="359C62C1">
      <w:pPr>
        <w:snapToGrid w:val="0"/>
        <w:spacing w:line="360" w:lineRule="auto"/>
        <w:jc w:val="left"/>
        <w:rPr>
          <w:rStyle w:val="62"/>
          <w:rFonts w:hint="eastAsia" w:ascii="宋体" w:hAnsi="宋体" w:eastAsia="宋体" w:cs="宋体"/>
          <w:b w:val="0"/>
          <w:color w:val="auto"/>
          <w:sz w:val="28"/>
          <w:highlight w:val="none"/>
        </w:rPr>
      </w:pPr>
    </w:p>
    <w:p w14:paraId="3D6D88A4">
      <w:pPr>
        <w:snapToGrid w:val="0"/>
        <w:spacing w:line="360" w:lineRule="auto"/>
        <w:jc w:val="left"/>
        <w:rPr>
          <w:rStyle w:val="62"/>
          <w:rFonts w:hint="eastAsia" w:ascii="宋体" w:hAnsi="宋体" w:eastAsia="宋体" w:cs="宋体"/>
          <w:b w:val="0"/>
          <w:color w:val="auto"/>
          <w:sz w:val="28"/>
          <w:highlight w:val="none"/>
        </w:rPr>
      </w:pPr>
      <w:r>
        <w:rPr>
          <w:rStyle w:val="62"/>
          <w:rFonts w:hint="eastAsia" w:ascii="宋体" w:hAnsi="宋体" w:eastAsia="宋体" w:cs="宋体"/>
          <w:b w:val="0"/>
          <w:color w:val="auto"/>
          <w:sz w:val="28"/>
          <w:highlight w:val="none"/>
        </w:rPr>
        <w:t xml:space="preserve"> </w:t>
      </w:r>
      <w:r>
        <w:rPr>
          <w:rStyle w:val="62"/>
          <w:rFonts w:hint="eastAsia" w:ascii="宋体" w:hAnsi="宋体" w:eastAsia="宋体" w:cs="宋体"/>
          <w:b w:val="0"/>
          <w:bCs w:val="0"/>
          <w:color w:val="auto"/>
          <w:sz w:val="28"/>
          <w:highlight w:val="none"/>
        </w:rPr>
        <w:t xml:space="preserve"> </w:t>
      </w:r>
      <w:r>
        <w:rPr>
          <w:rStyle w:val="62"/>
          <w:rFonts w:hint="eastAsia" w:ascii="宋体" w:hAnsi="宋体" w:eastAsia="宋体" w:cs="宋体"/>
          <w:b w:val="0"/>
          <w:bCs w:val="0"/>
          <w:color w:val="auto"/>
          <w:szCs w:val="21"/>
          <w:highlight w:val="none"/>
        </w:rPr>
        <w:t>说明：</w:t>
      </w:r>
      <w:r>
        <w:rPr>
          <w:rStyle w:val="62"/>
          <w:rFonts w:hint="eastAsia" w:ascii="宋体" w:hAnsi="宋体" w:eastAsia="宋体" w:cs="宋体"/>
          <w:b w:val="0"/>
          <w:color w:val="auto"/>
          <w:szCs w:val="21"/>
          <w:highlight w:val="none"/>
        </w:rPr>
        <w:t>本附件的具体内容由招标人根据招标项目的具体情况及第三章评标办法规定的“评定分离”工作规则自行编写。</w:t>
      </w:r>
    </w:p>
    <w:p w14:paraId="1B13359E">
      <w:pPr>
        <w:widowControl/>
        <w:jc w:val="left"/>
        <w:rPr>
          <w:rFonts w:hint="eastAsia" w:ascii="宋体" w:hAnsi="宋体" w:eastAsia="宋体" w:cs="宋体"/>
          <w:color w:val="auto"/>
          <w:sz w:val="30"/>
          <w:szCs w:val="30"/>
          <w:highlight w:val="none"/>
        </w:rPr>
      </w:pPr>
    </w:p>
    <w:p w14:paraId="31CB4953">
      <w:pPr>
        <w:widowControl/>
        <w:jc w:val="left"/>
        <w:rPr>
          <w:rFonts w:hint="eastAsia" w:ascii="宋体" w:hAnsi="宋体" w:eastAsia="宋体" w:cs="宋体"/>
          <w:color w:val="auto"/>
          <w:sz w:val="30"/>
          <w:szCs w:val="30"/>
          <w:highlight w:val="none"/>
        </w:rPr>
      </w:pPr>
    </w:p>
    <w:p w14:paraId="532038A9">
      <w:pPr>
        <w:widowControl/>
        <w:jc w:val="left"/>
        <w:rPr>
          <w:rFonts w:hint="eastAsia" w:ascii="宋体" w:hAnsi="宋体" w:eastAsia="宋体" w:cs="宋体"/>
          <w:color w:val="auto"/>
          <w:sz w:val="30"/>
          <w:szCs w:val="30"/>
          <w:highlight w:val="none"/>
        </w:rPr>
        <w:sectPr>
          <w:footerReference r:id="rId5" w:type="first"/>
          <w:pgSz w:w="11906" w:h="16838"/>
          <w:pgMar w:top="1417" w:right="1440" w:bottom="1417" w:left="1440" w:header="850" w:footer="850" w:gutter="0"/>
          <w:cols w:space="720" w:num="1"/>
          <w:titlePg/>
          <w:docGrid w:type="lines" w:linePitch="315" w:charSpace="0"/>
        </w:sectPr>
      </w:pPr>
    </w:p>
    <w:p w14:paraId="0A334EC9">
      <w:pPr>
        <w:pStyle w:val="8"/>
        <w:spacing w:before="0" w:after="0"/>
        <w:jc w:val="center"/>
        <w:outlineLvl w:val="1"/>
        <w:rPr>
          <w:rFonts w:hint="eastAsia" w:ascii="宋体" w:hAnsi="宋体" w:eastAsia="宋体" w:cs="宋体"/>
          <w:b w:val="0"/>
          <w:bCs w:val="0"/>
          <w:color w:val="auto"/>
          <w:highlight w:val="none"/>
        </w:rPr>
      </w:pPr>
      <w:bookmarkStart w:id="333" w:name="_Toc80006099"/>
      <w:bookmarkStart w:id="334" w:name="_Toc80006209"/>
      <w:bookmarkStart w:id="335" w:name="_Toc27690"/>
      <w:bookmarkStart w:id="336" w:name="_Toc13095"/>
      <w:bookmarkStart w:id="337" w:name="_Toc7161"/>
      <w:bookmarkStart w:id="338" w:name="_Toc25537"/>
      <w:bookmarkStart w:id="339" w:name="_Toc4904"/>
      <w:bookmarkStart w:id="340" w:name="_Toc31915"/>
      <w:bookmarkStart w:id="341" w:name="_Toc13810"/>
      <w:r>
        <w:rPr>
          <w:rFonts w:hint="eastAsia" w:ascii="宋体" w:hAnsi="宋体" w:eastAsia="宋体" w:cs="宋体"/>
          <w:b w:val="0"/>
          <w:bCs w:val="0"/>
          <w:color w:val="auto"/>
          <w:highlight w:val="none"/>
        </w:rPr>
        <w:t>第三章  评标办法（经评审的最低投标价法）</w:t>
      </w:r>
      <w:bookmarkEnd w:id="333"/>
      <w:bookmarkEnd w:id="334"/>
      <w:bookmarkEnd w:id="335"/>
      <w:bookmarkEnd w:id="336"/>
      <w:bookmarkEnd w:id="337"/>
      <w:bookmarkEnd w:id="338"/>
      <w:bookmarkEnd w:id="339"/>
      <w:bookmarkEnd w:id="340"/>
      <w:bookmarkEnd w:id="341"/>
    </w:p>
    <w:p w14:paraId="24D8C9BF">
      <w:pPr>
        <w:spacing w:line="312" w:lineRule="auto"/>
        <w:jc w:val="center"/>
        <w:rPr>
          <w:rFonts w:hint="eastAsia" w:ascii="宋体" w:hAnsi="宋体" w:eastAsia="宋体" w:cs="宋体"/>
          <w:bCs/>
          <w:color w:val="auto"/>
          <w:sz w:val="30"/>
          <w:highlight w:val="none"/>
        </w:rPr>
      </w:pPr>
      <w:bookmarkStart w:id="342" w:name="_Toc6807"/>
      <w:r>
        <w:rPr>
          <w:rFonts w:hint="eastAsia" w:ascii="宋体" w:hAnsi="宋体" w:eastAsia="宋体" w:cs="宋体"/>
          <w:bCs/>
          <w:color w:val="auto"/>
          <w:sz w:val="30"/>
          <w:highlight w:val="none"/>
        </w:rPr>
        <w:t>评标办法前附表</w:t>
      </w:r>
      <w:bookmarkEnd w:id="316"/>
      <w:bookmarkEnd w:id="342"/>
    </w:p>
    <w:tbl>
      <w:tblPr>
        <w:tblStyle w:val="42"/>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12"/>
        <w:gridCol w:w="5807"/>
      </w:tblGrid>
      <w:tr w14:paraId="03EE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203" w:type="dxa"/>
            <w:vAlign w:val="center"/>
          </w:tcPr>
          <w:p w14:paraId="1826813E">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条款号</w:t>
            </w:r>
          </w:p>
        </w:tc>
        <w:tc>
          <w:tcPr>
            <w:tcW w:w="2612" w:type="dxa"/>
            <w:vAlign w:val="center"/>
          </w:tcPr>
          <w:p w14:paraId="156AA57F">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评审因素</w:t>
            </w:r>
          </w:p>
        </w:tc>
        <w:tc>
          <w:tcPr>
            <w:tcW w:w="5807" w:type="dxa"/>
            <w:vAlign w:val="center"/>
          </w:tcPr>
          <w:p w14:paraId="66A25FDD">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评审标准</w:t>
            </w:r>
          </w:p>
        </w:tc>
      </w:tr>
      <w:tr w14:paraId="5F18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203" w:type="dxa"/>
            <w:vMerge w:val="restart"/>
            <w:vAlign w:val="center"/>
          </w:tcPr>
          <w:p w14:paraId="649100D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w:t>
            </w:r>
          </w:p>
        </w:tc>
        <w:tc>
          <w:tcPr>
            <w:tcW w:w="8419" w:type="dxa"/>
            <w:gridSpan w:val="2"/>
            <w:vAlign w:val="center"/>
          </w:tcPr>
          <w:p w14:paraId="433CDAA8">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形式评审  </w:t>
            </w:r>
          </w:p>
        </w:tc>
      </w:tr>
      <w:tr w14:paraId="3E8E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203" w:type="dxa"/>
            <w:vMerge w:val="continue"/>
            <w:vAlign w:val="center"/>
          </w:tcPr>
          <w:p w14:paraId="755A58A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7DBC481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5807" w:type="dxa"/>
            <w:vAlign w:val="center"/>
          </w:tcPr>
          <w:p w14:paraId="42546F35">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与营业执照、资质证书、安全生产许可证上的名称一致；省外企业名称与在“湖南省住房和城乡建设网”登记的一致</w:t>
            </w:r>
          </w:p>
        </w:tc>
      </w:tr>
      <w:tr w14:paraId="201B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7AE9180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47384F3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w:t>
            </w:r>
          </w:p>
        </w:tc>
        <w:tc>
          <w:tcPr>
            <w:tcW w:w="5807" w:type="dxa"/>
            <w:vAlign w:val="center"/>
          </w:tcPr>
          <w:p w14:paraId="58A420D1">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同一投标人未提交两份以上不同内容的投标文件，但招标文件要求提交备选投标的除外</w:t>
            </w:r>
          </w:p>
        </w:tc>
      </w:tr>
      <w:tr w14:paraId="50FA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7B74E79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2DE77D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807" w:type="dxa"/>
            <w:vAlign w:val="center"/>
          </w:tcPr>
          <w:p w14:paraId="5FB1696E">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同一投标人未提交两份以上不同内容的投标报价，但招标文件要求提交备选投标的除外</w:t>
            </w:r>
          </w:p>
        </w:tc>
      </w:tr>
      <w:tr w14:paraId="0BFE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69A2D2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699026E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法定代表人身份证明</w:t>
            </w:r>
          </w:p>
        </w:tc>
        <w:tc>
          <w:tcPr>
            <w:tcW w:w="5807" w:type="dxa"/>
            <w:vAlign w:val="center"/>
          </w:tcPr>
          <w:p w14:paraId="5E01EB6A">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提交盖投标人单位章的法定代表人身份证明</w:t>
            </w:r>
          </w:p>
        </w:tc>
      </w:tr>
      <w:tr w14:paraId="6405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03" w:type="dxa"/>
            <w:vMerge w:val="continue"/>
            <w:vAlign w:val="center"/>
          </w:tcPr>
          <w:p w14:paraId="6B9CFF8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714316F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授权委托书（如有）</w:t>
            </w:r>
          </w:p>
        </w:tc>
        <w:tc>
          <w:tcPr>
            <w:tcW w:w="5807" w:type="dxa"/>
            <w:vAlign w:val="center"/>
          </w:tcPr>
          <w:p w14:paraId="1AC6EA57">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提交法定代表人签字或盖章的授权委托书</w:t>
            </w:r>
          </w:p>
        </w:tc>
      </w:tr>
      <w:tr w14:paraId="026D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203" w:type="dxa"/>
            <w:vMerge w:val="continue"/>
            <w:vAlign w:val="center"/>
          </w:tcPr>
          <w:p w14:paraId="56F1930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654DFAF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共同投标协议</w:t>
            </w:r>
            <w:r>
              <w:rPr>
                <w:rFonts w:hint="eastAsia" w:ascii="宋体" w:hAnsi="宋体" w:eastAsia="宋体" w:cs="宋体"/>
                <w:color w:val="auto"/>
                <w:szCs w:val="21"/>
                <w:highlight w:val="none"/>
                <w:lang w:val="en-US" w:eastAsia="zh-CN"/>
              </w:rPr>
              <w:t>（如有）</w:t>
            </w:r>
          </w:p>
        </w:tc>
        <w:tc>
          <w:tcPr>
            <w:tcW w:w="5807" w:type="dxa"/>
            <w:vAlign w:val="center"/>
          </w:tcPr>
          <w:p w14:paraId="1BC3888B">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提交共同投标协议，且明确了牵头人</w:t>
            </w:r>
          </w:p>
        </w:tc>
      </w:tr>
      <w:tr w14:paraId="2E7D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jc w:val="center"/>
        </w:trPr>
        <w:tc>
          <w:tcPr>
            <w:tcW w:w="1203" w:type="dxa"/>
            <w:vMerge w:val="continue"/>
            <w:vAlign w:val="center"/>
          </w:tcPr>
          <w:p w14:paraId="06CDEC6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070980AB">
            <w:pPr>
              <w:keepNext w:val="0"/>
              <w:keepLines w:val="0"/>
              <w:suppressLineNumbers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投标文件</w:t>
            </w:r>
            <w:r>
              <w:rPr>
                <w:rFonts w:hint="eastAsia" w:ascii="宋体" w:hAnsi="宋体" w:eastAsia="宋体" w:cs="宋体"/>
                <w:color w:val="auto"/>
                <w:szCs w:val="21"/>
                <w:highlight w:val="none"/>
              </w:rPr>
              <w:t>签字盖章</w:t>
            </w:r>
          </w:p>
        </w:tc>
        <w:tc>
          <w:tcPr>
            <w:tcW w:w="5807" w:type="dxa"/>
            <w:vAlign w:val="center"/>
          </w:tcPr>
          <w:p w14:paraId="5D5E8F4F">
            <w:pPr>
              <w:keepNext w:val="0"/>
              <w:keepLines w:val="0"/>
              <w:suppressLineNumbers w:val="0"/>
              <w:snapToGrid w:val="0"/>
              <w:spacing w:before="0" w:beforeAutospacing="0" w:after="0" w:afterAutospacing="0"/>
              <w:ind w:left="0" w:right="0"/>
              <w:rPr>
                <w:rFonts w:hint="eastAsia" w:ascii="宋体" w:hAnsi="宋体" w:eastAsia="宋体" w:cs="宋体"/>
                <w:bCs/>
                <w:color w:val="auto"/>
                <w:highlight w:val="none"/>
                <w:lang w:val="en-US" w:eastAsia="zh-CN"/>
              </w:rPr>
            </w:pPr>
            <w:r>
              <w:rPr>
                <w:rFonts w:hint="eastAsia" w:ascii="宋体" w:hAnsi="宋体" w:eastAsia="宋体" w:cs="宋体"/>
                <w:bCs/>
                <w:color w:val="auto"/>
                <w:highlight w:val="none"/>
                <w:lang w:val="en-US" w:eastAsia="zh-CN"/>
              </w:rPr>
              <w:t>投标文件中的投标函和共同投标协议（如有）</w:t>
            </w:r>
            <w:r>
              <w:rPr>
                <w:rFonts w:hint="eastAsia" w:ascii="宋体" w:hAnsi="宋体" w:eastAsia="宋体" w:cs="宋体"/>
                <w:color w:val="auto"/>
                <w:szCs w:val="21"/>
                <w:highlight w:val="none"/>
              </w:rPr>
              <w:t>签字盖章</w:t>
            </w:r>
            <w:r>
              <w:rPr>
                <w:rFonts w:hint="eastAsia" w:ascii="宋体" w:hAnsi="宋体" w:eastAsia="宋体" w:cs="宋体"/>
                <w:color w:val="auto"/>
                <w:szCs w:val="21"/>
                <w:highlight w:val="none"/>
                <w:lang w:val="en-US" w:eastAsia="zh-CN"/>
              </w:rPr>
              <w:t>应符合以下情形之一：</w:t>
            </w:r>
          </w:p>
          <w:p w14:paraId="3F4955A2">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Cs w:val="21"/>
                <w:highlight w:val="none"/>
                <w:lang w:val="en-US" w:eastAsia="zh-CN"/>
              </w:rPr>
              <w:t>盖投标人单位章</w:t>
            </w:r>
          </w:p>
          <w:p w14:paraId="552C5D9D">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（2）法定代表人或其委托代理人签字或盖章</w:t>
            </w:r>
          </w:p>
        </w:tc>
      </w:tr>
      <w:tr w14:paraId="1DE1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203" w:type="dxa"/>
            <w:vMerge w:val="continue"/>
            <w:vAlign w:val="center"/>
          </w:tcPr>
          <w:p w14:paraId="4CB7246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026CC31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5807" w:type="dxa"/>
            <w:vAlign w:val="center"/>
          </w:tcPr>
          <w:p w14:paraId="1B979E0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48E31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203" w:type="dxa"/>
            <w:vMerge w:val="restart"/>
            <w:vAlign w:val="center"/>
          </w:tcPr>
          <w:p w14:paraId="5FD7D21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2.1.2 </w:t>
            </w:r>
          </w:p>
        </w:tc>
        <w:tc>
          <w:tcPr>
            <w:tcW w:w="8419" w:type="dxa"/>
            <w:gridSpan w:val="2"/>
            <w:vAlign w:val="center"/>
          </w:tcPr>
          <w:p w14:paraId="0518D99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r>
      <w:tr w14:paraId="026C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4815E37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2103BF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5807" w:type="dxa"/>
            <w:vAlign w:val="center"/>
          </w:tcPr>
          <w:p w14:paraId="65AF7697">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具备有效的营业执照</w:t>
            </w:r>
          </w:p>
        </w:tc>
      </w:tr>
      <w:tr w14:paraId="64841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115BEFD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42C0722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资质等级</w:t>
            </w:r>
          </w:p>
        </w:tc>
        <w:tc>
          <w:tcPr>
            <w:tcW w:w="5807" w:type="dxa"/>
            <w:vAlign w:val="center"/>
          </w:tcPr>
          <w:p w14:paraId="02681E14">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符合第二章“投标人须知”的规定</w:t>
            </w:r>
          </w:p>
        </w:tc>
      </w:tr>
      <w:tr w14:paraId="1332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03" w:type="dxa"/>
            <w:vMerge w:val="continue"/>
            <w:vAlign w:val="center"/>
          </w:tcPr>
          <w:p w14:paraId="4EEE2B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6593BB0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安全生产许可证</w:t>
            </w:r>
          </w:p>
        </w:tc>
        <w:tc>
          <w:tcPr>
            <w:tcW w:w="5807" w:type="dxa"/>
            <w:vAlign w:val="center"/>
          </w:tcPr>
          <w:p w14:paraId="6EF7B424">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具备有效的安全生产许可证</w:t>
            </w:r>
          </w:p>
        </w:tc>
      </w:tr>
      <w:tr w14:paraId="2BEB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203" w:type="dxa"/>
            <w:vMerge w:val="continue"/>
            <w:vAlign w:val="center"/>
          </w:tcPr>
          <w:p w14:paraId="3D31620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3A05358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拟任项目经理资格</w:t>
            </w:r>
          </w:p>
        </w:tc>
        <w:tc>
          <w:tcPr>
            <w:tcW w:w="5807" w:type="dxa"/>
            <w:vAlign w:val="center"/>
          </w:tcPr>
          <w:p w14:paraId="40DE334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符合第二章“投标人须知”的规定</w:t>
            </w:r>
          </w:p>
        </w:tc>
      </w:tr>
      <w:tr w14:paraId="22070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48397F0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16C035E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其他要求</w:t>
            </w:r>
          </w:p>
        </w:tc>
        <w:tc>
          <w:tcPr>
            <w:tcW w:w="5807" w:type="dxa"/>
            <w:vAlign w:val="center"/>
          </w:tcPr>
          <w:p w14:paraId="13C2F248">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符合第二章“投标人须知”的规定</w:t>
            </w:r>
          </w:p>
        </w:tc>
      </w:tr>
      <w:tr w14:paraId="5401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03" w:type="dxa"/>
            <w:vMerge w:val="continue"/>
            <w:vAlign w:val="center"/>
          </w:tcPr>
          <w:p w14:paraId="689FDDC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612" w:type="dxa"/>
            <w:vAlign w:val="center"/>
          </w:tcPr>
          <w:p w14:paraId="3F5ADE74">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5807" w:type="dxa"/>
            <w:vAlign w:val="center"/>
          </w:tcPr>
          <w:p w14:paraId="310AAA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1096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1203" w:type="dxa"/>
            <w:vMerge w:val="continue"/>
            <w:vAlign w:val="center"/>
          </w:tcPr>
          <w:p w14:paraId="5DF4FE4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419" w:type="dxa"/>
            <w:gridSpan w:val="2"/>
            <w:vAlign w:val="center"/>
          </w:tcPr>
          <w:p w14:paraId="113ACDA8">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已进行资格预审的，评标委员会一般不再对投标人资格进行评审。投标人资格预审申请文件的内容发生了重大变化的，由评标委员会依据资格预审文件中规定的标准和方法，对照投标人资格预审申请文件中的资料以及开标前更新的资料，对其更新的资料进行评审，其变化后的资格条件不得低于原有资格条件要求。</w:t>
            </w:r>
          </w:p>
          <w:p w14:paraId="0C6ACD78">
            <w:pPr>
              <w:keepNext w:val="0"/>
              <w:keepLines w:val="0"/>
              <w:suppressLineNumbers w:val="0"/>
              <w:spacing w:before="0" w:beforeAutospacing="0" w:after="0" w:afterAutospacing="0"/>
              <w:ind w:left="0" w:right="0"/>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t>2.未进行资格预审的，由评标委员会根据评审标准，对投标人资格进行评审。</w:t>
            </w:r>
          </w:p>
          <w:p w14:paraId="0A4BB8F5">
            <w:pPr>
              <w:keepNext w:val="0"/>
              <w:keepLines w:val="0"/>
              <w:suppressLineNumbers w:val="0"/>
              <w:spacing w:before="0" w:beforeAutospacing="0" w:after="0" w:afterAutospacing="0"/>
              <w:ind w:left="0" w:right="0"/>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 xml:space="preserve"> </w:t>
            </w:r>
          </w:p>
        </w:tc>
      </w:tr>
    </w:tbl>
    <w:p w14:paraId="6272A8A8">
      <w:pPr>
        <w:widowControl/>
        <w:jc w:val="left"/>
        <w:rPr>
          <w:rFonts w:hint="eastAsia" w:ascii="宋体" w:hAnsi="宋体" w:eastAsia="宋体" w:cs="宋体"/>
          <w:color w:val="auto"/>
          <w:highlight w:val="none"/>
        </w:rPr>
        <w:sectPr>
          <w:footerReference r:id="rId7" w:type="first"/>
          <w:footerReference r:id="rId6" w:type="default"/>
          <w:pgSz w:w="11906" w:h="16838"/>
          <w:pgMar w:top="1417" w:right="1553" w:bottom="1417" w:left="1531" w:header="850" w:footer="850" w:gutter="0"/>
          <w:pgNumType w:fmt="decimal"/>
          <w:cols w:space="720" w:num="1"/>
          <w:titlePg/>
          <w:docGrid w:type="lines" w:linePitch="315" w:charSpace="0"/>
        </w:sectPr>
      </w:pPr>
    </w:p>
    <w:p w14:paraId="68DC95D6">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t>承前页</w:t>
      </w:r>
    </w:p>
    <w:tbl>
      <w:tblPr>
        <w:tblStyle w:val="42"/>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2552"/>
        <w:gridCol w:w="4879"/>
        <w:gridCol w:w="15"/>
        <w:gridCol w:w="1200"/>
      </w:tblGrid>
      <w:tr w14:paraId="23DC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Align w:val="center"/>
          </w:tcPr>
          <w:p w14:paraId="134FD789">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2.2条款号</w:t>
            </w:r>
          </w:p>
        </w:tc>
        <w:tc>
          <w:tcPr>
            <w:tcW w:w="2552" w:type="dxa"/>
            <w:vAlign w:val="center"/>
          </w:tcPr>
          <w:p w14:paraId="7D3975D2">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评审因素</w:t>
            </w:r>
          </w:p>
        </w:tc>
        <w:tc>
          <w:tcPr>
            <w:tcW w:w="6094" w:type="dxa"/>
            <w:gridSpan w:val="3"/>
            <w:vAlign w:val="center"/>
          </w:tcPr>
          <w:p w14:paraId="7DCFB530">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评审标准</w:t>
            </w:r>
          </w:p>
        </w:tc>
      </w:tr>
      <w:tr w14:paraId="5F93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087" w:type="dxa"/>
            <w:vMerge w:val="restart"/>
            <w:vAlign w:val="center"/>
          </w:tcPr>
          <w:p w14:paraId="1493121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8646" w:type="dxa"/>
            <w:gridSpan w:val="4"/>
            <w:vAlign w:val="center"/>
          </w:tcPr>
          <w:p w14:paraId="325A0162">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响应性评审</w:t>
            </w:r>
          </w:p>
        </w:tc>
      </w:tr>
      <w:tr w14:paraId="47B7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6079FD2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395BA03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投标内容</w:t>
            </w:r>
          </w:p>
        </w:tc>
        <w:tc>
          <w:tcPr>
            <w:tcW w:w="6094" w:type="dxa"/>
            <w:gridSpan w:val="3"/>
            <w:vAlign w:val="center"/>
          </w:tcPr>
          <w:p w14:paraId="31551A04">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投标文件载明的投标范围不小于招标文件规定的招标范围</w:t>
            </w:r>
          </w:p>
        </w:tc>
      </w:tr>
      <w:tr w14:paraId="726E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vMerge w:val="continue"/>
            <w:vAlign w:val="center"/>
          </w:tcPr>
          <w:p w14:paraId="0EE270B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7F08D32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6094" w:type="dxa"/>
            <w:gridSpan w:val="3"/>
            <w:vAlign w:val="center"/>
          </w:tcPr>
          <w:p w14:paraId="5B11E5F3">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投标报价未超过招标文件规定的最高投标限价</w:t>
            </w:r>
            <w:r>
              <w:rPr>
                <w:rFonts w:hint="eastAsia" w:ascii="宋体" w:hAnsi="宋体" w:eastAsia="宋体" w:cs="宋体"/>
                <w:color w:val="auto"/>
                <w:szCs w:val="21"/>
                <w:highlight w:val="none"/>
                <w:lang w:eastAsia="zh-CN"/>
              </w:rPr>
              <w:t>；</w:t>
            </w:r>
          </w:p>
          <w:p w14:paraId="64B412B4">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highlight w:val="none"/>
                <w:lang w:eastAsia="zh-CN"/>
              </w:rPr>
            </w:pPr>
            <w:r>
              <w:rPr>
                <w:rFonts w:hint="eastAsia" w:ascii="宋体" w:hAnsi="宋体" w:eastAsia="宋体" w:cs="宋体"/>
                <w:bCs w:val="0"/>
                <w:color w:val="auto"/>
                <w:highlight w:val="none"/>
              </w:rPr>
              <w:t>投标报价中的绿色施工安全防护措施项目费按照省住房城乡建设主管部门的规定计算</w:t>
            </w:r>
            <w:r>
              <w:rPr>
                <w:rFonts w:hint="eastAsia" w:ascii="宋体" w:hAnsi="宋体" w:eastAsia="宋体" w:cs="宋体"/>
                <w:bCs w:val="0"/>
                <w:color w:val="auto"/>
                <w:highlight w:val="none"/>
                <w:lang w:eastAsia="zh-CN"/>
              </w:rPr>
              <w:t>；</w:t>
            </w:r>
          </w:p>
          <w:p w14:paraId="0511BAF0">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highlight w:val="none"/>
                <w:lang w:eastAsia="zh-CN"/>
              </w:rPr>
            </w:pPr>
            <w:r>
              <w:rPr>
                <w:rFonts w:hint="eastAsia" w:ascii="宋体" w:hAnsi="宋体" w:eastAsia="宋体" w:cs="宋体"/>
                <w:bCs w:val="0"/>
                <w:color w:val="auto"/>
                <w:highlight w:val="none"/>
              </w:rPr>
              <w:t>投标报价中的安全责任险按照省住房城乡建设主管部门的规定计算</w:t>
            </w:r>
            <w:r>
              <w:rPr>
                <w:rFonts w:hint="eastAsia" w:ascii="宋体" w:hAnsi="宋体" w:eastAsia="宋体" w:cs="宋体"/>
                <w:bCs w:val="0"/>
                <w:color w:val="auto"/>
                <w:highlight w:val="none"/>
                <w:lang w:eastAsia="zh-CN"/>
              </w:rPr>
              <w:t>；</w:t>
            </w:r>
          </w:p>
          <w:p w14:paraId="325CF160">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highlight w:val="none"/>
                <w:lang w:eastAsia="zh-CN"/>
              </w:rPr>
            </w:pPr>
            <w:r>
              <w:rPr>
                <w:rFonts w:hint="eastAsia" w:ascii="宋体" w:hAnsi="宋体" w:eastAsia="宋体" w:cs="宋体"/>
                <w:bCs w:val="0"/>
                <w:color w:val="auto"/>
                <w:highlight w:val="none"/>
              </w:rPr>
              <w:t>投标报价中的环境保护税按照省住房城乡建设主管部门的规定计算</w:t>
            </w:r>
            <w:r>
              <w:rPr>
                <w:rFonts w:hint="eastAsia" w:ascii="宋体" w:hAnsi="宋体" w:eastAsia="宋体" w:cs="宋体"/>
                <w:bCs w:val="0"/>
                <w:color w:val="auto"/>
                <w:highlight w:val="none"/>
                <w:lang w:eastAsia="zh-CN"/>
              </w:rPr>
              <w:t>；</w:t>
            </w:r>
          </w:p>
          <w:p w14:paraId="011379E1">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highlight w:val="none"/>
                <w:lang w:eastAsia="zh-CN"/>
              </w:rPr>
            </w:pPr>
            <w:r>
              <w:rPr>
                <w:rFonts w:hint="eastAsia" w:ascii="宋体" w:hAnsi="宋体" w:eastAsia="宋体" w:cs="宋体"/>
                <w:bCs w:val="0"/>
                <w:color w:val="auto"/>
                <w:highlight w:val="none"/>
              </w:rPr>
              <w:t>投标报价中的增值税按照政府有关主管部门的规定计算费用</w:t>
            </w:r>
            <w:r>
              <w:rPr>
                <w:rFonts w:hint="eastAsia" w:ascii="宋体" w:hAnsi="宋体" w:eastAsia="宋体" w:cs="宋体"/>
                <w:bCs w:val="0"/>
                <w:color w:val="auto"/>
                <w:highlight w:val="none"/>
                <w:lang w:eastAsia="zh-CN"/>
              </w:rPr>
              <w:t>；</w:t>
            </w:r>
          </w:p>
          <w:p w14:paraId="21DFCAE7">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bCs w:val="0"/>
                <w:color w:val="auto"/>
                <w:highlight w:val="none"/>
              </w:rPr>
              <w:t>投标报价中的暂估价或暂列金额与招标人公布的暂估价或暂列金额保持一致的。</w:t>
            </w:r>
          </w:p>
        </w:tc>
      </w:tr>
      <w:tr w14:paraId="39C8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3FBD01C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1CC4B46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w:t>
            </w:r>
          </w:p>
        </w:tc>
        <w:tc>
          <w:tcPr>
            <w:tcW w:w="6094" w:type="dxa"/>
            <w:gridSpan w:val="3"/>
            <w:vAlign w:val="center"/>
          </w:tcPr>
          <w:p w14:paraId="2EC4E704">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投标文件载明的招标项目完成期限未超过招标文件要求的期限</w:t>
            </w:r>
          </w:p>
        </w:tc>
      </w:tr>
      <w:tr w14:paraId="627B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7129775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2737420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工程质量和保修</w:t>
            </w:r>
          </w:p>
        </w:tc>
        <w:tc>
          <w:tcPr>
            <w:tcW w:w="6094" w:type="dxa"/>
            <w:gridSpan w:val="3"/>
            <w:vAlign w:val="center"/>
          </w:tcPr>
          <w:p w14:paraId="62EAB08E">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投标文件载明的质量标准</w:t>
            </w:r>
            <w:r>
              <w:rPr>
                <w:rFonts w:hint="eastAsia" w:ascii="宋体" w:hAnsi="宋体" w:eastAsia="宋体" w:cs="宋体"/>
                <w:color w:val="auto"/>
                <w:kern w:val="0"/>
                <w:szCs w:val="21"/>
                <w:highlight w:val="none"/>
                <w:lang w:val="en-US" w:eastAsia="zh-CN"/>
              </w:rPr>
              <w:t>和</w:t>
            </w:r>
            <w:r>
              <w:rPr>
                <w:rFonts w:hint="eastAsia" w:ascii="宋体" w:hAnsi="宋体" w:eastAsia="宋体" w:cs="宋体"/>
                <w:color w:val="auto"/>
                <w:kern w:val="0"/>
                <w:szCs w:val="21"/>
                <w:highlight w:val="none"/>
              </w:rPr>
              <w:t>保修承诺不低于招标文件的要求</w:t>
            </w:r>
          </w:p>
        </w:tc>
      </w:tr>
      <w:tr w14:paraId="5BB9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5011A33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5E529A6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省外入湘企业基本信息登记</w:t>
            </w:r>
          </w:p>
        </w:tc>
        <w:tc>
          <w:tcPr>
            <w:tcW w:w="6094" w:type="dxa"/>
            <w:gridSpan w:val="3"/>
            <w:vAlign w:val="center"/>
          </w:tcPr>
          <w:p w14:paraId="722C74AE">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符合第二章“投标人须知”的规定</w:t>
            </w:r>
          </w:p>
        </w:tc>
      </w:tr>
      <w:tr w14:paraId="37C7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087" w:type="dxa"/>
            <w:vMerge w:val="continue"/>
            <w:vAlign w:val="center"/>
          </w:tcPr>
          <w:p w14:paraId="01DE7B0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4F37851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拟任</w:t>
            </w:r>
            <w:r>
              <w:rPr>
                <w:rFonts w:hint="eastAsia" w:ascii="宋体" w:hAnsi="宋体" w:eastAsia="宋体" w:cs="宋体"/>
                <w:bCs/>
                <w:color w:val="auto"/>
                <w:szCs w:val="21"/>
                <w:highlight w:val="none"/>
                <w:lang w:val="en-US" w:eastAsia="zh-CN"/>
              </w:rPr>
              <w:t>项目经理</w:t>
            </w:r>
            <w:r>
              <w:rPr>
                <w:rFonts w:hint="eastAsia" w:ascii="宋体" w:hAnsi="宋体" w:eastAsia="宋体" w:cs="宋体"/>
                <w:bCs/>
                <w:color w:val="auto"/>
                <w:szCs w:val="21"/>
                <w:highlight w:val="none"/>
              </w:rPr>
              <w:t>在建情况</w:t>
            </w:r>
          </w:p>
        </w:tc>
        <w:tc>
          <w:tcPr>
            <w:tcW w:w="6094" w:type="dxa"/>
            <w:gridSpan w:val="3"/>
            <w:vAlign w:val="center"/>
          </w:tcPr>
          <w:p w14:paraId="6575023C">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符合第二章“投标人须知”的规定</w:t>
            </w:r>
          </w:p>
        </w:tc>
      </w:tr>
      <w:tr w14:paraId="694B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6" w:hRule="atLeast"/>
          <w:jc w:val="center"/>
        </w:trPr>
        <w:tc>
          <w:tcPr>
            <w:tcW w:w="1087" w:type="dxa"/>
            <w:vMerge w:val="continue"/>
            <w:vAlign w:val="center"/>
          </w:tcPr>
          <w:p w14:paraId="7055EBB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432D06A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w:t>
            </w:r>
          </w:p>
        </w:tc>
        <w:tc>
          <w:tcPr>
            <w:tcW w:w="6094" w:type="dxa"/>
            <w:gridSpan w:val="3"/>
            <w:vAlign w:val="center"/>
          </w:tcPr>
          <w:p w14:paraId="4C85708C">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符合第二章“投标人须知”第3.4.1项规定，保函受益人和投标人的全称与招标人和投标人名称一致；保函有效期起始时间应为本项目投标截止时间之前；保函有效期应不短于投标有效期。</w:t>
            </w:r>
          </w:p>
        </w:tc>
      </w:tr>
      <w:tr w14:paraId="6B9BF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48007DA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04670D7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6094" w:type="dxa"/>
            <w:gridSpan w:val="3"/>
            <w:vAlign w:val="center"/>
          </w:tcPr>
          <w:p w14:paraId="46ADF157">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投标有效期不短于投标人须知前附表的</w:t>
            </w:r>
            <w:r>
              <w:rPr>
                <w:rFonts w:hint="eastAsia" w:ascii="宋体" w:hAnsi="宋体" w:eastAsia="宋体" w:cs="宋体"/>
                <w:color w:val="auto"/>
                <w:kern w:val="0"/>
                <w:szCs w:val="21"/>
                <w:highlight w:val="none"/>
              </w:rPr>
              <w:t>规定</w:t>
            </w:r>
          </w:p>
        </w:tc>
      </w:tr>
      <w:tr w14:paraId="20DC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Merge w:val="continue"/>
            <w:vAlign w:val="center"/>
          </w:tcPr>
          <w:p w14:paraId="124B054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0DF5EA5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权利义务</w:t>
            </w:r>
          </w:p>
        </w:tc>
        <w:tc>
          <w:tcPr>
            <w:tcW w:w="6094" w:type="dxa"/>
            <w:gridSpan w:val="3"/>
            <w:vAlign w:val="center"/>
          </w:tcPr>
          <w:p w14:paraId="4F595172">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符合第四章“合同条款及格式”规定</w:t>
            </w:r>
          </w:p>
        </w:tc>
      </w:tr>
      <w:tr w14:paraId="3AA0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87" w:type="dxa"/>
            <w:vMerge w:val="continue"/>
            <w:vAlign w:val="center"/>
          </w:tcPr>
          <w:p w14:paraId="370DDB7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Align w:val="center"/>
          </w:tcPr>
          <w:p w14:paraId="47B956C5">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6094" w:type="dxa"/>
            <w:gridSpan w:val="3"/>
            <w:vAlign w:val="center"/>
          </w:tcPr>
          <w:p w14:paraId="1D4FD9D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07F5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87" w:type="dxa"/>
            <w:vAlign w:val="center"/>
          </w:tcPr>
          <w:p w14:paraId="220E7DB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条款号</w:t>
            </w:r>
          </w:p>
        </w:tc>
        <w:tc>
          <w:tcPr>
            <w:tcW w:w="2552" w:type="dxa"/>
            <w:vAlign w:val="center"/>
          </w:tcPr>
          <w:p w14:paraId="6865D368">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条款内容</w:t>
            </w:r>
          </w:p>
        </w:tc>
        <w:tc>
          <w:tcPr>
            <w:tcW w:w="6094" w:type="dxa"/>
            <w:gridSpan w:val="3"/>
            <w:vAlign w:val="center"/>
          </w:tcPr>
          <w:p w14:paraId="683416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编列内容</w:t>
            </w:r>
          </w:p>
        </w:tc>
      </w:tr>
      <w:tr w14:paraId="0264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087" w:type="dxa"/>
            <w:vAlign w:val="center"/>
          </w:tcPr>
          <w:p w14:paraId="6583806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w:t>
            </w:r>
          </w:p>
        </w:tc>
        <w:tc>
          <w:tcPr>
            <w:tcW w:w="2552" w:type="dxa"/>
            <w:vAlign w:val="center"/>
          </w:tcPr>
          <w:p w14:paraId="7D9C7E3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权值构成</w:t>
            </w:r>
          </w:p>
          <w:p w14:paraId="55CFC82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（总权值1）</w:t>
            </w:r>
          </w:p>
        </w:tc>
        <w:tc>
          <w:tcPr>
            <w:tcW w:w="6094" w:type="dxa"/>
            <w:gridSpan w:val="3"/>
            <w:vAlign w:val="center"/>
          </w:tcPr>
          <w:p w14:paraId="45F6E7E6">
            <w:pPr>
              <w:keepNext w:val="0"/>
              <w:keepLines w:val="0"/>
              <w:suppressLineNumbers w:val="0"/>
              <w:spacing w:before="0" w:beforeAutospacing="0" w:after="0" w:afterAutospacing="0"/>
              <w:ind w:left="0" w:right="0"/>
              <w:rPr>
                <w:rFonts w:hint="eastAsia" w:ascii="宋体" w:hAnsi="宋体" w:eastAsia="宋体" w:cs="宋体"/>
                <w:color w:val="auto"/>
                <w:highlight w:val="none"/>
              </w:rPr>
            </w:pPr>
            <w:r>
              <w:rPr>
                <w:rFonts w:hint="eastAsia" w:ascii="宋体" w:hAnsi="宋体" w:eastAsia="宋体" w:cs="宋体"/>
                <w:color w:val="auto"/>
                <w:highlight w:val="none"/>
              </w:rPr>
              <w:t>业绩及信用评价权重（取值范围：0.</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5-0.</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0）：</w:t>
            </w:r>
            <w:r>
              <w:rPr>
                <w:rFonts w:hint="eastAsia" w:ascii="宋体" w:hAnsi="宋体" w:eastAsia="宋体" w:cs="宋体"/>
                <w:b w:val="0"/>
                <w:bCs w:val="0"/>
                <w:color w:val="auto"/>
                <w:sz w:val="32"/>
                <w:szCs w:val="32"/>
                <w:highlight w:val="none"/>
                <w:u w:val="single"/>
                <w:lang w:val="en-US" w:eastAsia="zh-CN"/>
              </w:rPr>
              <w:t xml:space="preserve">   </w:t>
            </w:r>
            <w:r>
              <w:rPr>
                <w:rFonts w:hint="eastAsia" w:ascii="宋体" w:hAnsi="宋体" w:eastAsia="宋体" w:cs="宋体"/>
                <w:b w:val="0"/>
                <w:bCs w:val="0"/>
                <w:color w:val="auto"/>
                <w:sz w:val="28"/>
                <w:szCs w:val="28"/>
                <w:highlight w:val="none"/>
                <w:u w:val="single"/>
                <w:lang w:val="en-US" w:eastAsia="zh-CN"/>
              </w:rPr>
              <w:t>0.</w:t>
            </w:r>
            <w:r>
              <w:rPr>
                <w:rFonts w:hint="eastAsia" w:ascii="宋体" w:hAnsi="宋体" w:cs="宋体"/>
                <w:b w:val="0"/>
                <w:bCs w:val="0"/>
                <w:color w:val="auto"/>
                <w:sz w:val="28"/>
                <w:szCs w:val="28"/>
                <w:highlight w:val="none"/>
                <w:u w:val="single"/>
                <w:lang w:val="en-US" w:eastAsia="zh-CN"/>
              </w:rPr>
              <w:t>3</w:t>
            </w:r>
            <w:r>
              <w:rPr>
                <w:rFonts w:hint="eastAsia" w:ascii="宋体" w:hAnsi="宋体" w:eastAsia="宋体" w:cs="宋体"/>
                <w:b w:val="0"/>
                <w:bCs w:val="0"/>
                <w:color w:val="auto"/>
                <w:sz w:val="32"/>
                <w:szCs w:val="32"/>
                <w:highlight w:val="none"/>
                <w:u w:val="single"/>
                <w:lang w:val="en-US" w:eastAsia="zh-CN"/>
              </w:rPr>
              <w:t xml:space="preserve">   </w:t>
            </w:r>
          </w:p>
          <w:p w14:paraId="18E3F85F">
            <w:pPr>
              <w:keepNext w:val="0"/>
              <w:keepLines w:val="0"/>
              <w:suppressLineNumbers w:val="0"/>
              <w:spacing w:before="0" w:beforeAutospacing="0" w:after="0" w:afterAutospacing="0"/>
              <w:ind w:left="0" w:right="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投标报价权重（取值范围：0.</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0-0.</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5）：</w:t>
            </w:r>
            <w:r>
              <w:rPr>
                <w:rFonts w:hint="eastAsia" w:ascii="宋体" w:hAnsi="宋体" w:eastAsia="宋体" w:cs="宋体"/>
                <w:b w:val="0"/>
                <w:bCs w:val="0"/>
                <w:color w:val="auto"/>
                <w:sz w:val="32"/>
                <w:szCs w:val="32"/>
                <w:highlight w:val="none"/>
                <w:u w:val="single"/>
                <w:lang w:val="en-US" w:eastAsia="zh-CN"/>
              </w:rPr>
              <w:t xml:space="preserve">   </w:t>
            </w:r>
            <w:r>
              <w:rPr>
                <w:rFonts w:hint="eastAsia" w:ascii="宋体" w:hAnsi="宋体" w:eastAsia="宋体" w:cs="宋体"/>
                <w:b w:val="0"/>
                <w:bCs w:val="0"/>
                <w:color w:val="auto"/>
                <w:sz w:val="28"/>
                <w:szCs w:val="28"/>
                <w:highlight w:val="none"/>
                <w:u w:val="single"/>
                <w:lang w:val="en-US" w:eastAsia="zh-CN"/>
              </w:rPr>
              <w:t>0.</w:t>
            </w:r>
            <w:r>
              <w:rPr>
                <w:rFonts w:hint="eastAsia" w:ascii="宋体" w:hAnsi="宋体" w:cs="宋体"/>
                <w:b w:val="0"/>
                <w:bCs w:val="0"/>
                <w:color w:val="auto"/>
                <w:sz w:val="28"/>
                <w:szCs w:val="28"/>
                <w:highlight w:val="none"/>
                <w:u w:val="single"/>
                <w:lang w:val="en-US" w:eastAsia="zh-CN"/>
              </w:rPr>
              <w:t>7</w:t>
            </w:r>
            <w:r>
              <w:rPr>
                <w:rFonts w:hint="eastAsia" w:ascii="宋体" w:hAnsi="宋体" w:eastAsia="宋体" w:cs="宋体"/>
                <w:b w:val="0"/>
                <w:bCs w:val="0"/>
                <w:color w:val="auto"/>
                <w:sz w:val="28"/>
                <w:szCs w:val="28"/>
                <w:highlight w:val="none"/>
                <w:u w:val="single"/>
                <w:lang w:val="en-US" w:eastAsia="zh-CN"/>
              </w:rPr>
              <w:t xml:space="preserve"> </w:t>
            </w:r>
            <w:r>
              <w:rPr>
                <w:rFonts w:hint="eastAsia" w:ascii="宋体" w:hAnsi="宋体" w:eastAsia="宋体" w:cs="宋体"/>
                <w:b w:val="0"/>
                <w:bCs w:val="0"/>
                <w:color w:val="auto"/>
                <w:sz w:val="32"/>
                <w:szCs w:val="32"/>
                <w:highlight w:val="none"/>
                <w:u w:val="single"/>
                <w:lang w:val="en-US" w:eastAsia="zh-CN"/>
              </w:rPr>
              <w:t xml:space="preserve">   </w:t>
            </w:r>
          </w:p>
        </w:tc>
      </w:tr>
      <w:tr w14:paraId="3C58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87" w:type="dxa"/>
            <w:vAlign w:val="center"/>
          </w:tcPr>
          <w:p w14:paraId="23515604">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条款号</w:t>
            </w:r>
          </w:p>
        </w:tc>
        <w:tc>
          <w:tcPr>
            <w:tcW w:w="2552" w:type="dxa"/>
            <w:vAlign w:val="center"/>
          </w:tcPr>
          <w:p w14:paraId="5FFF9835">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评审因素</w:t>
            </w:r>
          </w:p>
        </w:tc>
        <w:tc>
          <w:tcPr>
            <w:tcW w:w="4879" w:type="dxa"/>
            <w:vAlign w:val="center"/>
          </w:tcPr>
          <w:p w14:paraId="78776995">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评审标准</w:t>
            </w:r>
          </w:p>
        </w:tc>
        <w:tc>
          <w:tcPr>
            <w:tcW w:w="1215" w:type="dxa"/>
            <w:gridSpan w:val="2"/>
            <w:vAlign w:val="center"/>
          </w:tcPr>
          <w:p w14:paraId="1ABDF73D">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评审结果</w:t>
            </w:r>
          </w:p>
        </w:tc>
      </w:tr>
      <w:tr w14:paraId="47C2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087" w:type="dxa"/>
            <w:vMerge w:val="restart"/>
            <w:vAlign w:val="center"/>
          </w:tcPr>
          <w:p w14:paraId="26C5E2A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2.2.4</w:t>
            </w:r>
          </w:p>
          <w:p w14:paraId="2B70F325">
            <w:pPr>
              <w:keepNext w:val="0"/>
              <w:keepLines w:val="0"/>
              <w:suppressLineNumbers w:val="0"/>
              <w:spacing w:before="0" w:beforeAutospacing="0" w:after="0" w:afterAutospacing="0"/>
              <w:ind w:left="0" w:right="0"/>
              <w:jc w:val="center"/>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t>（1）</w:t>
            </w:r>
          </w:p>
        </w:tc>
        <w:tc>
          <w:tcPr>
            <w:tcW w:w="8646" w:type="dxa"/>
            <w:gridSpan w:val="4"/>
            <w:vAlign w:val="center"/>
          </w:tcPr>
          <w:p w14:paraId="0C0EED20">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施工组织设计</w:t>
            </w:r>
            <w:r>
              <w:rPr>
                <w:rFonts w:hint="default"/>
                <w:color w:val="auto"/>
                <w:spacing w:val="8"/>
              </w:rPr>
              <w:t>（采用合格性评审方式）</w:t>
            </w:r>
          </w:p>
        </w:tc>
      </w:tr>
      <w:tr w14:paraId="281F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4" w:hRule="atLeast"/>
          <w:jc w:val="center"/>
        </w:trPr>
        <w:tc>
          <w:tcPr>
            <w:tcW w:w="1087" w:type="dxa"/>
            <w:vMerge w:val="continue"/>
            <w:vAlign w:val="center"/>
          </w:tcPr>
          <w:p w14:paraId="6C33CAA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restart"/>
            <w:vAlign w:val="center"/>
          </w:tcPr>
          <w:p w14:paraId="72B8D5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施工方案与技术措施</w:t>
            </w:r>
          </w:p>
        </w:tc>
        <w:tc>
          <w:tcPr>
            <w:tcW w:w="4894" w:type="dxa"/>
            <w:gridSpan w:val="2"/>
            <w:vAlign w:val="center"/>
          </w:tcPr>
          <w:p w14:paraId="525585D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1.施工方案不完整，且缺少关键项目施工技术方案；或者市政项目缺少交通措施（除招标文件明确不需要外）；缺少建筑垃圾现场减量、分类处置、扬尘污染防治等相关内容；</w:t>
            </w:r>
          </w:p>
          <w:p w14:paraId="292F565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2.引用强制性技术标准错误，或明显违反国家和省有关规定。</w:t>
            </w:r>
          </w:p>
        </w:tc>
        <w:tc>
          <w:tcPr>
            <w:tcW w:w="1200" w:type="dxa"/>
            <w:vAlign w:val="center"/>
          </w:tcPr>
          <w:p w14:paraId="4BC91CA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不合格</w:t>
            </w:r>
          </w:p>
        </w:tc>
      </w:tr>
      <w:tr w14:paraId="7CA9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87" w:type="dxa"/>
            <w:vMerge w:val="continue"/>
            <w:vAlign w:val="center"/>
          </w:tcPr>
          <w:p w14:paraId="3B40899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continue"/>
            <w:vAlign w:val="center"/>
          </w:tcPr>
          <w:p w14:paraId="5CC375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4894" w:type="dxa"/>
            <w:gridSpan w:val="2"/>
            <w:vAlign w:val="center"/>
          </w:tcPr>
          <w:p w14:paraId="37473FC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无不合格内容</w:t>
            </w:r>
          </w:p>
        </w:tc>
        <w:tc>
          <w:tcPr>
            <w:tcW w:w="1200" w:type="dxa"/>
            <w:vAlign w:val="center"/>
          </w:tcPr>
          <w:p w14:paraId="7392AF2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  格</w:t>
            </w:r>
          </w:p>
        </w:tc>
      </w:tr>
      <w:tr w14:paraId="1D93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1087" w:type="dxa"/>
            <w:vMerge w:val="continue"/>
            <w:vAlign w:val="center"/>
          </w:tcPr>
          <w:p w14:paraId="0CF8EDB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restart"/>
            <w:vAlign w:val="center"/>
          </w:tcPr>
          <w:p w14:paraId="21BE2A6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质量管理体系与措施</w:t>
            </w:r>
          </w:p>
        </w:tc>
        <w:tc>
          <w:tcPr>
            <w:tcW w:w="4894" w:type="dxa"/>
            <w:gridSpan w:val="2"/>
            <w:vAlign w:val="center"/>
          </w:tcPr>
          <w:p w14:paraId="4F0736CB">
            <w:pPr>
              <w:keepNext w:val="0"/>
              <w:keepLines w:val="0"/>
              <w:suppressLineNumbers w:val="0"/>
              <w:tabs>
                <w:tab w:val="left" w:pos="312"/>
              </w:tabs>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1.质量目标不满足招标文件要求，缺少质量保证措施</w:t>
            </w:r>
          </w:p>
          <w:p w14:paraId="3E022BE5">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2.引用强制性技术标准错误，或明显违反国家和省有关规定。</w:t>
            </w:r>
          </w:p>
        </w:tc>
        <w:tc>
          <w:tcPr>
            <w:tcW w:w="1200" w:type="dxa"/>
            <w:vAlign w:val="center"/>
          </w:tcPr>
          <w:p w14:paraId="32BC297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不合格</w:t>
            </w:r>
          </w:p>
        </w:tc>
      </w:tr>
      <w:tr w14:paraId="4533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087" w:type="dxa"/>
            <w:vMerge w:val="continue"/>
            <w:vAlign w:val="center"/>
          </w:tcPr>
          <w:p w14:paraId="3ED736F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continue"/>
            <w:vAlign w:val="center"/>
          </w:tcPr>
          <w:p w14:paraId="21BFF0E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4894" w:type="dxa"/>
            <w:gridSpan w:val="2"/>
            <w:vAlign w:val="center"/>
          </w:tcPr>
          <w:p w14:paraId="121FE01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无不合格内容</w:t>
            </w:r>
          </w:p>
        </w:tc>
        <w:tc>
          <w:tcPr>
            <w:tcW w:w="1200" w:type="dxa"/>
            <w:vAlign w:val="center"/>
          </w:tcPr>
          <w:p w14:paraId="4B46D9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  格</w:t>
            </w:r>
          </w:p>
        </w:tc>
      </w:tr>
      <w:tr w14:paraId="45A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7" w:hRule="atLeast"/>
          <w:jc w:val="center"/>
        </w:trPr>
        <w:tc>
          <w:tcPr>
            <w:tcW w:w="1087" w:type="dxa"/>
            <w:vMerge w:val="continue"/>
            <w:vAlign w:val="center"/>
          </w:tcPr>
          <w:p w14:paraId="467180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restart"/>
            <w:vAlign w:val="center"/>
          </w:tcPr>
          <w:p w14:paraId="30E93B5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安全管理体系与措施</w:t>
            </w:r>
          </w:p>
        </w:tc>
        <w:tc>
          <w:tcPr>
            <w:tcW w:w="4894" w:type="dxa"/>
            <w:gridSpan w:val="2"/>
            <w:vAlign w:val="center"/>
          </w:tcPr>
          <w:p w14:paraId="6010BC07">
            <w:pPr>
              <w:keepNext w:val="0"/>
              <w:keepLines w:val="0"/>
              <w:suppressLineNumbers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1.安全目标不满足招标文件要求，缺少重大危险源识别和控制，缺少施工安全措施；</w:t>
            </w:r>
          </w:p>
          <w:p w14:paraId="03D1E0F8">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2.引用强制性技术标准错误，或明显违反国家和省有关规定</w:t>
            </w:r>
          </w:p>
        </w:tc>
        <w:tc>
          <w:tcPr>
            <w:tcW w:w="1200" w:type="dxa"/>
            <w:vAlign w:val="center"/>
          </w:tcPr>
          <w:p w14:paraId="2A0DD66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不合格</w:t>
            </w:r>
          </w:p>
        </w:tc>
      </w:tr>
      <w:tr w14:paraId="0DAD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087" w:type="dxa"/>
            <w:vMerge w:val="continue"/>
            <w:vAlign w:val="center"/>
          </w:tcPr>
          <w:p w14:paraId="318C60D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552" w:type="dxa"/>
            <w:vMerge w:val="continue"/>
            <w:vAlign w:val="center"/>
          </w:tcPr>
          <w:p w14:paraId="61A132D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4894" w:type="dxa"/>
            <w:gridSpan w:val="2"/>
            <w:vAlign w:val="center"/>
          </w:tcPr>
          <w:p w14:paraId="5D2B45A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无不合格内容</w:t>
            </w:r>
          </w:p>
        </w:tc>
        <w:tc>
          <w:tcPr>
            <w:tcW w:w="1200" w:type="dxa"/>
            <w:vAlign w:val="center"/>
          </w:tcPr>
          <w:p w14:paraId="54ADA99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  格</w:t>
            </w:r>
          </w:p>
        </w:tc>
      </w:tr>
      <w:tr w14:paraId="52C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1087" w:type="dxa"/>
            <w:vMerge w:val="continue"/>
            <w:vAlign w:val="center"/>
          </w:tcPr>
          <w:p w14:paraId="1BD4B3F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646" w:type="dxa"/>
            <w:gridSpan w:val="4"/>
            <w:vAlign w:val="center"/>
          </w:tcPr>
          <w:p w14:paraId="46980E00">
            <w:pPr>
              <w:keepNext w:val="0"/>
              <w:keepLines w:val="0"/>
              <w:widowControl/>
              <w:suppressLineNumbers w:val="0"/>
              <w:shd w:val="clear" w:color="auto" w:fill="FFFFFF"/>
              <w:spacing w:before="0" w:beforeAutospacing="0" w:after="0" w:afterAutospacing="0"/>
              <w:ind w:left="0" w:right="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适用于施工组织设计采用合格性评审项目；</w:t>
            </w:r>
          </w:p>
          <w:p w14:paraId="5A2208F6">
            <w:pPr>
              <w:keepNext w:val="0"/>
              <w:keepLines w:val="0"/>
              <w:widowControl/>
              <w:suppressLineNumbers w:val="0"/>
              <w:shd w:val="clear" w:color="auto" w:fill="FFFFFF"/>
              <w:spacing w:before="0" w:beforeAutospacing="0" w:after="0" w:afterAutospacing="0"/>
              <w:ind w:left="0" w:right="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合格性评审采用明标的方式由评标委员会集体评审</w:t>
            </w:r>
            <w:r>
              <w:rPr>
                <w:rFonts w:hint="eastAsia" w:ascii="宋体" w:hAnsi="宋体" w:eastAsia="宋体" w:cs="宋体"/>
                <w:bCs/>
                <w:color w:val="auto"/>
                <w:szCs w:val="21"/>
                <w:highlight w:val="none"/>
                <w:lang w:eastAsia="zh-CN"/>
              </w:rPr>
              <w:t>；</w:t>
            </w:r>
          </w:p>
          <w:p w14:paraId="6AC7B498">
            <w:pPr>
              <w:keepNext w:val="0"/>
              <w:keepLines w:val="0"/>
              <w:widowControl/>
              <w:suppressLineNumbers w:val="0"/>
              <w:shd w:val="clear" w:color="auto" w:fill="FFFFFF"/>
              <w:spacing w:before="0" w:beforeAutospacing="0" w:after="0" w:afterAutospacing="0"/>
              <w:ind w:left="0" w:right="0"/>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因施工组织设计缺项或者</w:t>
            </w:r>
            <w:r>
              <w:rPr>
                <w:rFonts w:hint="eastAsia" w:ascii="宋体" w:hAnsi="宋体" w:eastAsia="宋体" w:cs="宋体"/>
                <w:bCs/>
                <w:color w:val="auto"/>
                <w:szCs w:val="21"/>
                <w:highlight w:val="none"/>
                <w:lang w:val="en-US" w:eastAsia="zh-CN"/>
              </w:rPr>
              <w:t>同</w:t>
            </w:r>
            <w:r>
              <w:rPr>
                <w:rFonts w:hint="eastAsia" w:ascii="宋体" w:hAnsi="宋体" w:eastAsia="宋体" w:cs="宋体"/>
                <w:bCs/>
                <w:color w:val="auto"/>
                <w:szCs w:val="21"/>
                <w:highlight w:val="none"/>
              </w:rPr>
              <w:t>一项评审内容被</w:t>
            </w:r>
            <w:r>
              <w:rPr>
                <w:rFonts w:hint="eastAsia" w:ascii="宋体" w:hAnsi="宋体" w:eastAsia="宋体" w:cs="宋体"/>
                <w:bCs/>
                <w:color w:val="auto"/>
                <w:szCs w:val="21"/>
                <w:highlight w:val="none"/>
                <w:lang w:val="en-US" w:eastAsia="zh-CN"/>
              </w:rPr>
              <w:t>超过一半</w:t>
            </w:r>
            <w:r>
              <w:rPr>
                <w:rFonts w:hint="eastAsia" w:ascii="宋体" w:hAnsi="宋体" w:eastAsia="宋体" w:cs="宋体"/>
                <w:bCs/>
                <w:color w:val="auto"/>
                <w:szCs w:val="21"/>
                <w:highlight w:val="none"/>
              </w:rPr>
              <w:t>评标委员会</w:t>
            </w:r>
            <w:r>
              <w:rPr>
                <w:rFonts w:hint="eastAsia" w:ascii="宋体" w:hAnsi="宋体" w:eastAsia="宋体" w:cs="宋体"/>
                <w:bCs/>
                <w:color w:val="auto"/>
                <w:szCs w:val="21"/>
                <w:highlight w:val="none"/>
                <w:lang w:val="en-US" w:eastAsia="zh-CN"/>
              </w:rPr>
              <w:t>成员</w:t>
            </w:r>
            <w:r>
              <w:rPr>
                <w:rFonts w:hint="eastAsia" w:ascii="宋体" w:hAnsi="宋体" w:eastAsia="宋体" w:cs="宋体"/>
                <w:bCs/>
                <w:color w:val="auto"/>
                <w:szCs w:val="21"/>
                <w:highlight w:val="none"/>
              </w:rPr>
              <w:t>判定为不合格的，施工组织设计不合格，应当否决其投标</w:t>
            </w:r>
            <w:r>
              <w:rPr>
                <w:rFonts w:hint="eastAsia" w:ascii="宋体" w:hAnsi="宋体" w:eastAsia="宋体" w:cs="宋体"/>
                <w:bCs/>
                <w:color w:val="auto"/>
                <w:szCs w:val="21"/>
                <w:highlight w:val="none"/>
                <w:lang w:eastAsia="zh-CN"/>
              </w:rPr>
              <w:t>；</w:t>
            </w:r>
          </w:p>
          <w:p w14:paraId="6173B6D8">
            <w:pPr>
              <w:keepNext w:val="0"/>
              <w:keepLines w:val="0"/>
              <w:widowControl/>
              <w:suppressLineNumbers w:val="0"/>
              <w:shd w:val="clear" w:color="auto" w:fill="FFFFFF"/>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施工组织设计</w:t>
            </w:r>
            <w:r>
              <w:rPr>
                <w:rFonts w:hint="eastAsia" w:ascii="宋体" w:hAnsi="宋体" w:eastAsia="宋体" w:cs="宋体"/>
                <w:bCs/>
                <w:color w:val="auto"/>
                <w:szCs w:val="21"/>
                <w:highlight w:val="none"/>
                <w:lang w:val="en-US" w:eastAsia="zh-CN"/>
              </w:rPr>
              <w:t>评审</w:t>
            </w:r>
            <w:r>
              <w:rPr>
                <w:rFonts w:hint="eastAsia" w:ascii="宋体" w:hAnsi="宋体" w:eastAsia="宋体" w:cs="宋体"/>
                <w:bCs/>
                <w:color w:val="auto"/>
                <w:szCs w:val="21"/>
                <w:highlight w:val="none"/>
              </w:rPr>
              <w:t>不合格的，评标委员会应当注明理由和依据。</w:t>
            </w:r>
          </w:p>
        </w:tc>
      </w:tr>
    </w:tbl>
    <w:p w14:paraId="0A8B3923">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r>
        <w:rPr>
          <w:rFonts w:hint="eastAsia" w:ascii="宋体" w:hAnsi="宋体" w:eastAsia="宋体" w:cs="宋体"/>
          <w:color w:val="auto"/>
          <w:highlight w:val="none"/>
        </w:rPr>
        <w:t xml:space="preserve"> </w:t>
      </w:r>
    </w:p>
    <w:tbl>
      <w:tblPr>
        <w:tblStyle w:val="42"/>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65"/>
        <w:gridCol w:w="1033"/>
        <w:gridCol w:w="101"/>
        <w:gridCol w:w="1275"/>
        <w:gridCol w:w="2552"/>
        <w:gridCol w:w="847"/>
        <w:gridCol w:w="848"/>
        <w:gridCol w:w="848"/>
      </w:tblGrid>
      <w:tr w14:paraId="2047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38" w:type="dxa"/>
            <w:vAlign w:val="center"/>
          </w:tcPr>
          <w:p w14:paraId="5FFC8AF4">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条款号</w:t>
            </w:r>
          </w:p>
        </w:tc>
        <w:tc>
          <w:tcPr>
            <w:tcW w:w="2099" w:type="dxa"/>
            <w:gridSpan w:val="3"/>
            <w:vAlign w:val="center"/>
          </w:tcPr>
          <w:p w14:paraId="1C93C2AF">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评审因素</w:t>
            </w:r>
          </w:p>
        </w:tc>
        <w:tc>
          <w:tcPr>
            <w:tcW w:w="3827" w:type="dxa"/>
            <w:gridSpan w:val="2"/>
            <w:vAlign w:val="center"/>
          </w:tcPr>
          <w:p w14:paraId="39EE4682">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评审标准</w:t>
            </w:r>
          </w:p>
        </w:tc>
        <w:tc>
          <w:tcPr>
            <w:tcW w:w="2543" w:type="dxa"/>
            <w:gridSpan w:val="3"/>
            <w:vAlign w:val="center"/>
          </w:tcPr>
          <w:p w14:paraId="4647FEDD">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计分方式</w:t>
            </w:r>
          </w:p>
        </w:tc>
      </w:tr>
      <w:tr w14:paraId="7F55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38" w:type="dxa"/>
            <w:vMerge w:val="restart"/>
            <w:vAlign w:val="center"/>
          </w:tcPr>
          <w:p w14:paraId="345575FA">
            <w:pPr>
              <w:keepNext w:val="0"/>
              <w:keepLines w:val="0"/>
              <w:suppressLineNumbers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w:t>
            </w:r>
          </w:p>
          <w:p w14:paraId="572638D7">
            <w:pPr>
              <w:keepNext w:val="0"/>
              <w:keepLines w:val="0"/>
              <w:suppressLineNumbers w:val="0"/>
              <w:spacing w:before="0" w:beforeAutospacing="0" w:after="0" w:afterAutospacing="0"/>
              <w:ind w:left="0" w:right="0"/>
              <w:jc w:val="center"/>
              <w:rPr>
                <w:rFonts w:hint="eastAsia" w:ascii="宋体" w:hAnsi="宋体" w:eastAsia="宋体" w:cs="宋体"/>
                <w:strike/>
                <w:color w:val="auto"/>
                <w:kern w:val="0"/>
                <w:szCs w:val="21"/>
                <w:highlight w:val="none"/>
              </w:rPr>
            </w:pPr>
            <w:r>
              <w:rPr>
                <w:rFonts w:hint="eastAsia" w:ascii="宋体" w:hAnsi="宋体" w:eastAsia="宋体" w:cs="宋体"/>
                <w:color w:val="auto"/>
                <w:kern w:val="0"/>
                <w:szCs w:val="21"/>
                <w:highlight w:val="none"/>
              </w:rPr>
              <w:t>（4）</w:t>
            </w:r>
          </w:p>
        </w:tc>
        <w:tc>
          <w:tcPr>
            <w:tcW w:w="8469" w:type="dxa"/>
            <w:gridSpan w:val="8"/>
            <w:vAlign w:val="center"/>
          </w:tcPr>
          <w:p w14:paraId="7C794554">
            <w:pPr>
              <w:keepNext w:val="0"/>
              <w:keepLines w:val="0"/>
              <w:suppressLineNumbers w:val="0"/>
              <w:spacing w:before="0" w:beforeAutospacing="0" w:after="0" w:afterAutospacing="0"/>
              <w:ind w:left="0" w:right="0"/>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业绩及信用评审</w:t>
            </w:r>
          </w:p>
        </w:tc>
      </w:tr>
      <w:tr w14:paraId="1BC9B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38" w:type="dxa"/>
            <w:vMerge w:val="continue"/>
            <w:vAlign w:val="center"/>
          </w:tcPr>
          <w:p w14:paraId="5FD84C5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099" w:type="dxa"/>
            <w:gridSpan w:val="3"/>
            <w:vAlign w:val="center"/>
          </w:tcPr>
          <w:p w14:paraId="79296C9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1275" w:type="dxa"/>
            <w:vAlign w:val="center"/>
          </w:tcPr>
          <w:p w14:paraId="7FFCD975">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类别</w:t>
            </w:r>
          </w:p>
        </w:tc>
        <w:tc>
          <w:tcPr>
            <w:tcW w:w="2552" w:type="dxa"/>
            <w:vAlign w:val="center"/>
          </w:tcPr>
          <w:p w14:paraId="3289461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数量和分值</w:t>
            </w:r>
          </w:p>
        </w:tc>
        <w:tc>
          <w:tcPr>
            <w:tcW w:w="847" w:type="dxa"/>
            <w:vAlign w:val="center"/>
          </w:tcPr>
          <w:p w14:paraId="09D35D9D">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计分制</w:t>
            </w:r>
          </w:p>
        </w:tc>
        <w:tc>
          <w:tcPr>
            <w:tcW w:w="848" w:type="dxa"/>
            <w:vAlign w:val="center"/>
          </w:tcPr>
          <w:p w14:paraId="284E7BF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最低分</w:t>
            </w:r>
          </w:p>
        </w:tc>
        <w:tc>
          <w:tcPr>
            <w:tcW w:w="848" w:type="dxa"/>
            <w:vAlign w:val="center"/>
          </w:tcPr>
          <w:p w14:paraId="5D6EAE2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最高分</w:t>
            </w:r>
          </w:p>
        </w:tc>
      </w:tr>
      <w:tr w14:paraId="51C6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838" w:type="dxa"/>
            <w:vMerge w:val="continue"/>
            <w:vAlign w:val="center"/>
          </w:tcPr>
          <w:p w14:paraId="093C42E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65" w:type="dxa"/>
            <w:vMerge w:val="restart"/>
            <w:vAlign w:val="center"/>
          </w:tcPr>
          <w:p w14:paraId="20242F2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w:t>
            </w:r>
            <w:r>
              <w:rPr>
                <w:rFonts w:hint="eastAsia" w:ascii="宋体" w:hAnsi="宋体" w:eastAsia="宋体" w:cs="宋体"/>
                <w:color w:val="auto"/>
                <w:szCs w:val="21"/>
                <w:highlight w:val="none"/>
                <w:lang w:val="en-US" w:eastAsia="zh-CN"/>
              </w:rPr>
              <w:t>人</w:t>
            </w:r>
          </w:p>
        </w:tc>
        <w:tc>
          <w:tcPr>
            <w:tcW w:w="1134" w:type="dxa"/>
            <w:gridSpan w:val="2"/>
            <w:vAlign w:val="center"/>
          </w:tcPr>
          <w:p w14:paraId="6785B0F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类似工</w:t>
            </w:r>
          </w:p>
          <w:p w14:paraId="74D6469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程业绩</w:t>
            </w:r>
          </w:p>
        </w:tc>
        <w:tc>
          <w:tcPr>
            <w:tcW w:w="1275" w:type="dxa"/>
            <w:vAlign w:val="center"/>
          </w:tcPr>
          <w:p w14:paraId="1D6705F1">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业绩</w:t>
            </w:r>
          </w:p>
        </w:tc>
        <w:tc>
          <w:tcPr>
            <w:tcW w:w="2552" w:type="dxa"/>
            <w:vAlign w:val="center"/>
          </w:tcPr>
          <w:p w14:paraId="2C6603F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施工业绩，每个</w:t>
            </w:r>
            <w:r>
              <w:rPr>
                <w:rFonts w:hint="eastAsia" w:ascii="宋体" w:hAnsi="宋体" w:cs="宋体"/>
                <w:color w:val="auto"/>
                <w:kern w:val="0"/>
                <w:szCs w:val="21"/>
                <w:highlight w:val="none"/>
                <w:lang w:val="en-US" w:eastAsia="zh-CN"/>
              </w:rPr>
              <w:t>2.5</w:t>
            </w:r>
            <w:r>
              <w:rPr>
                <w:rFonts w:hint="eastAsia" w:ascii="宋体" w:hAnsi="宋体" w:eastAsia="宋体" w:cs="宋体"/>
                <w:color w:val="auto"/>
                <w:kern w:val="0"/>
                <w:szCs w:val="21"/>
                <w:highlight w:val="none"/>
              </w:rPr>
              <w:t>分</w:t>
            </w:r>
          </w:p>
        </w:tc>
        <w:tc>
          <w:tcPr>
            <w:tcW w:w="847" w:type="dxa"/>
            <w:vAlign w:val="center"/>
          </w:tcPr>
          <w:p w14:paraId="11210705">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加分制</w:t>
            </w:r>
          </w:p>
        </w:tc>
        <w:tc>
          <w:tcPr>
            <w:tcW w:w="848" w:type="dxa"/>
            <w:vAlign w:val="center"/>
          </w:tcPr>
          <w:p w14:paraId="1329C507">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w:t>
            </w:r>
          </w:p>
        </w:tc>
        <w:tc>
          <w:tcPr>
            <w:tcW w:w="848" w:type="dxa"/>
            <w:vAlign w:val="center"/>
          </w:tcPr>
          <w:p w14:paraId="61F32E25">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r>
      <w:tr w14:paraId="02A5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38" w:type="dxa"/>
            <w:vMerge w:val="continue"/>
            <w:vAlign w:val="center"/>
          </w:tcPr>
          <w:p w14:paraId="5DD31C3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65" w:type="dxa"/>
            <w:vMerge w:val="continue"/>
            <w:vAlign w:val="center"/>
          </w:tcPr>
          <w:p w14:paraId="64C3DEC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p>
        </w:tc>
        <w:tc>
          <w:tcPr>
            <w:tcW w:w="1134" w:type="dxa"/>
            <w:gridSpan w:val="2"/>
            <w:vMerge w:val="restart"/>
            <w:vAlign w:val="center"/>
          </w:tcPr>
          <w:p w14:paraId="2557D2F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优良信息</w:t>
            </w:r>
          </w:p>
        </w:tc>
        <w:tc>
          <w:tcPr>
            <w:tcW w:w="1275" w:type="dxa"/>
            <w:vAlign w:val="center"/>
          </w:tcPr>
          <w:p w14:paraId="1D1AB2C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施工招投标信用评价</w:t>
            </w:r>
          </w:p>
        </w:tc>
        <w:tc>
          <w:tcPr>
            <w:tcW w:w="2552" w:type="dxa"/>
            <w:vAlign w:val="center"/>
          </w:tcPr>
          <w:p w14:paraId="053838E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施工招标投标信用评价得分×</w:t>
            </w:r>
            <w:r>
              <w:rPr>
                <w:rFonts w:hint="eastAsia" w:ascii="宋体" w:hAnsi="宋体" w:eastAsia="宋体" w:cs="宋体"/>
                <w:color w:val="auto"/>
                <w:kern w:val="0"/>
                <w:szCs w:val="21"/>
                <w:highlight w:val="none"/>
                <w:lang w:val="en-US" w:eastAsia="zh-CN"/>
              </w:rPr>
              <w:t>25</w:t>
            </w:r>
            <w:r>
              <w:rPr>
                <w:rFonts w:hint="eastAsia" w:ascii="宋体" w:hAnsi="宋体" w:eastAsia="宋体" w:cs="宋体"/>
                <w:color w:val="auto"/>
                <w:kern w:val="0"/>
                <w:szCs w:val="21"/>
                <w:highlight w:val="none"/>
              </w:rPr>
              <w:t>%</w:t>
            </w:r>
          </w:p>
        </w:tc>
        <w:tc>
          <w:tcPr>
            <w:tcW w:w="847" w:type="dxa"/>
            <w:vAlign w:val="center"/>
          </w:tcPr>
          <w:p w14:paraId="254D0D18">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加分制</w:t>
            </w:r>
          </w:p>
        </w:tc>
        <w:tc>
          <w:tcPr>
            <w:tcW w:w="848" w:type="dxa"/>
            <w:vAlign w:val="center"/>
          </w:tcPr>
          <w:p w14:paraId="68E5A9A0">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w:t>
            </w:r>
          </w:p>
        </w:tc>
        <w:tc>
          <w:tcPr>
            <w:tcW w:w="848" w:type="dxa"/>
            <w:vAlign w:val="center"/>
          </w:tcPr>
          <w:p w14:paraId="3B4651A6">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w:t>
            </w:r>
          </w:p>
        </w:tc>
      </w:tr>
      <w:tr w14:paraId="44E4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838" w:type="dxa"/>
            <w:vMerge w:val="continue"/>
            <w:vAlign w:val="center"/>
          </w:tcPr>
          <w:p w14:paraId="219AE22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65" w:type="dxa"/>
            <w:vMerge w:val="continue"/>
            <w:vAlign w:val="center"/>
          </w:tcPr>
          <w:p w14:paraId="59E6EB6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p>
        </w:tc>
        <w:tc>
          <w:tcPr>
            <w:tcW w:w="1134" w:type="dxa"/>
            <w:gridSpan w:val="2"/>
            <w:vMerge w:val="continue"/>
            <w:vAlign w:val="center"/>
          </w:tcPr>
          <w:p w14:paraId="13D5E60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p>
        </w:tc>
        <w:tc>
          <w:tcPr>
            <w:tcW w:w="1275" w:type="dxa"/>
            <w:vAlign w:val="center"/>
          </w:tcPr>
          <w:p w14:paraId="57AA82E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施工项目季度考评综合优良率</w:t>
            </w:r>
          </w:p>
        </w:tc>
        <w:tc>
          <w:tcPr>
            <w:tcW w:w="2552" w:type="dxa"/>
            <w:vAlign w:val="center"/>
          </w:tcPr>
          <w:p w14:paraId="6C1AA78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施工项目季度考评综合优良率得分</w:t>
            </w:r>
          </w:p>
        </w:tc>
        <w:tc>
          <w:tcPr>
            <w:tcW w:w="847" w:type="dxa"/>
            <w:vAlign w:val="center"/>
          </w:tcPr>
          <w:p w14:paraId="7C18126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加分制</w:t>
            </w:r>
          </w:p>
        </w:tc>
        <w:tc>
          <w:tcPr>
            <w:tcW w:w="848" w:type="dxa"/>
            <w:vAlign w:val="center"/>
          </w:tcPr>
          <w:p w14:paraId="329B6D07">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w:t>
            </w:r>
          </w:p>
        </w:tc>
        <w:tc>
          <w:tcPr>
            <w:tcW w:w="848" w:type="dxa"/>
            <w:vAlign w:val="center"/>
          </w:tcPr>
          <w:p w14:paraId="050D81B6">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w:t>
            </w:r>
          </w:p>
        </w:tc>
      </w:tr>
      <w:tr w14:paraId="6E64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838" w:type="dxa"/>
            <w:vMerge w:val="continue"/>
            <w:vAlign w:val="center"/>
          </w:tcPr>
          <w:p w14:paraId="2515C2C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65" w:type="dxa"/>
            <w:vAlign w:val="center"/>
          </w:tcPr>
          <w:p w14:paraId="2F6645A3">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项目管理机构</w:t>
            </w:r>
          </w:p>
        </w:tc>
        <w:tc>
          <w:tcPr>
            <w:tcW w:w="1134" w:type="dxa"/>
            <w:gridSpan w:val="2"/>
            <w:vAlign w:val="center"/>
          </w:tcPr>
          <w:p w14:paraId="012AEFF2">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275" w:type="dxa"/>
            <w:vAlign w:val="center"/>
          </w:tcPr>
          <w:p w14:paraId="54CEF74C">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不良信用信息</w:t>
            </w:r>
          </w:p>
        </w:tc>
        <w:tc>
          <w:tcPr>
            <w:tcW w:w="2552" w:type="dxa"/>
            <w:vAlign w:val="center"/>
          </w:tcPr>
          <w:p w14:paraId="027AD2D3">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项目经理存在信用评价不良信用信息的，根据不良信用信息类型，按照表后注解对应的分值进行扣除。</w:t>
            </w:r>
          </w:p>
        </w:tc>
        <w:tc>
          <w:tcPr>
            <w:tcW w:w="847" w:type="dxa"/>
            <w:vAlign w:val="center"/>
          </w:tcPr>
          <w:p w14:paraId="4D4433A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扣分制</w:t>
            </w:r>
          </w:p>
        </w:tc>
        <w:tc>
          <w:tcPr>
            <w:tcW w:w="848" w:type="dxa"/>
            <w:vAlign w:val="center"/>
          </w:tcPr>
          <w:p w14:paraId="5DAF4C35">
            <w:pPr>
              <w:keepNext w:val="0"/>
              <w:keepLines w:val="0"/>
              <w:widowControl/>
              <w:suppressLineNumbers w:val="0"/>
              <w:adjustRightInd w:val="0"/>
              <w:snapToGrid w:val="0"/>
              <w:spacing w:before="0" w:beforeAutospacing="0" w:after="0" w:afterAutospacing="0"/>
              <w:ind w:left="0" w:right="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848" w:type="dxa"/>
            <w:vAlign w:val="center"/>
          </w:tcPr>
          <w:p w14:paraId="72F9DC49">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0</w:t>
            </w:r>
          </w:p>
        </w:tc>
      </w:tr>
      <w:tr w14:paraId="13D1D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38" w:type="dxa"/>
            <w:vMerge w:val="continue"/>
            <w:vAlign w:val="center"/>
          </w:tcPr>
          <w:p w14:paraId="529094E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469" w:type="dxa"/>
            <w:gridSpan w:val="8"/>
            <w:vAlign w:val="center"/>
          </w:tcPr>
          <w:p w14:paraId="15C4D7D6">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1.类似工程业绩</w:t>
            </w:r>
          </w:p>
          <w:p w14:paraId="78D533A0">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.1 招标人可以根据项目实际情况选取0-</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个类似工程业绩纳入评审。</w:t>
            </w:r>
          </w:p>
          <w:p w14:paraId="4B0DBAF9">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.2 评审依据：以投标文件中提供的中标通知书（招标工程提交）、 合同和竣工验收资料以及本项目答疑文件明确可以作为评审依据的资料的复印件为准，并提供“湖南省智慧住建云—湖南省建筑市场监管公共服务平台”或者“全国建筑市场监管公共服务平台”上体现其作为相应承包人的项目网页截图。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p>
          <w:p w14:paraId="27985132">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投标人提供的类似工程业绩同时包含多个工程类别（专业）的，其工程类别（专业）所对应的工程量应当依次按照中标通知书、合同、竣工验收资料、项目答疑文件明确可以作为评审依据的资料进行认定。</w:t>
            </w:r>
          </w:p>
          <w:p w14:paraId="3047FA25">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以上资料均不能明确区分的，由评标委员会进行认定。</w:t>
            </w:r>
          </w:p>
          <w:p w14:paraId="701A6E8B">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.3 评审期限：3年，自工程竣工验收文件中建设单位签字或盖章之日起计算。类似工程业绩评审依据中竣工验收备案表未体现建设单位签字或盖章之日的，以竣工验收备案表“竣工验收日期”栏中注明的时间为准。</w:t>
            </w:r>
          </w:p>
          <w:p w14:paraId="3E17B62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不良</w:t>
            </w:r>
            <w:r>
              <w:rPr>
                <w:rFonts w:hint="eastAsia" w:ascii="宋体" w:hAnsi="宋体" w:eastAsia="宋体" w:cs="宋体"/>
                <w:color w:val="auto"/>
                <w:szCs w:val="21"/>
                <w:highlight w:val="none"/>
                <w:lang w:val="en-US" w:eastAsia="zh-CN"/>
              </w:rPr>
              <w:t>信用信息</w:t>
            </w:r>
            <w:r>
              <w:rPr>
                <w:rFonts w:hint="eastAsia" w:ascii="宋体" w:hAnsi="宋体" w:eastAsia="宋体" w:cs="宋体"/>
                <w:color w:val="auto"/>
                <w:szCs w:val="21"/>
                <w:highlight w:val="none"/>
              </w:rPr>
              <w:t>：</w:t>
            </w:r>
          </w:p>
          <w:p w14:paraId="23E2AD2C">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按照</w:t>
            </w:r>
            <w:r>
              <w:rPr>
                <w:rFonts w:hint="eastAsia" w:ascii="宋体" w:hAnsi="宋体" w:eastAsia="宋体" w:cs="宋体"/>
                <w:color w:val="auto"/>
                <w:szCs w:val="21"/>
                <w:highlight w:val="none"/>
              </w:rPr>
              <w:t>以下不良信用信息</w:t>
            </w:r>
            <w:r>
              <w:rPr>
                <w:rFonts w:hint="eastAsia" w:ascii="宋体" w:hAnsi="宋体" w:eastAsia="宋体" w:cs="宋体"/>
                <w:color w:val="auto"/>
                <w:szCs w:val="21"/>
                <w:highlight w:val="none"/>
                <w:lang w:val="en-US" w:eastAsia="zh-CN"/>
              </w:rPr>
              <w:t>扣分标准</w:t>
            </w:r>
            <w:r>
              <w:rPr>
                <w:rFonts w:hint="eastAsia" w:ascii="宋体" w:hAnsi="宋体" w:eastAsia="宋体" w:cs="宋体"/>
                <w:color w:val="auto"/>
                <w:szCs w:val="21"/>
                <w:highlight w:val="none"/>
              </w:rPr>
              <w:t>扣分，</w:t>
            </w:r>
            <w:r>
              <w:rPr>
                <w:rFonts w:hint="eastAsia" w:ascii="宋体" w:hAnsi="宋体" w:eastAsia="宋体" w:cs="宋体"/>
                <w:color w:val="auto"/>
                <w:szCs w:val="21"/>
                <w:highlight w:val="none"/>
                <w:lang w:eastAsia="zh-CN"/>
              </w:rPr>
              <w:t>严重失信行为名单（含失信黑名单，下同）</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扣8分、刑事处罚</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扣2分、失信被执行人</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扣1分、行政处罚</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扣0.5分、严重不良行为记录</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扣0.5分、一般不良行为记录</w:t>
            </w:r>
            <w:r>
              <w:rPr>
                <w:rFonts w:hint="eastAsia" w:ascii="宋体" w:hAnsi="宋体" w:eastAsia="宋体" w:cs="宋体"/>
                <w:color w:val="auto"/>
                <w:szCs w:val="21"/>
                <w:highlight w:val="none"/>
                <w:lang w:val="en-US" w:eastAsia="zh-CN"/>
              </w:rPr>
              <w:t>每次</w:t>
            </w:r>
            <w:r>
              <w:rPr>
                <w:rFonts w:hint="eastAsia" w:ascii="宋体" w:hAnsi="宋体" w:eastAsia="宋体" w:cs="宋体"/>
                <w:color w:val="auto"/>
                <w:szCs w:val="21"/>
                <w:highlight w:val="none"/>
              </w:rPr>
              <w:t>扣0.3分。湖南省行政区域内的不良行为记录以湖南省住房和城乡建设厅发布的结果为准；湖南省行政区域外的不良行为记录以全国建筑市场监管公共服务平台发布的信息为准，按严重不良行为记录扣分。</w:t>
            </w:r>
          </w:p>
          <w:p w14:paraId="153DAD7D">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Cs w:val="21"/>
                <w:highlight w:val="none"/>
                <w:lang w:val="en-US" w:eastAsia="zh-CN"/>
              </w:rPr>
              <w:t>不良信用信息扣分有效期同</w:t>
            </w:r>
            <w:r>
              <w:rPr>
                <w:rFonts w:hint="eastAsia" w:ascii="宋体" w:hAnsi="宋体" w:eastAsia="宋体" w:cs="宋体"/>
                <w:color w:val="auto"/>
                <w:kern w:val="0"/>
                <w:szCs w:val="21"/>
                <w:highlight w:val="none"/>
                <w:lang w:val="en-US" w:eastAsia="zh-CN"/>
              </w:rPr>
              <w:t>综合评估法后备注。</w:t>
            </w:r>
          </w:p>
          <w:p w14:paraId="34D8078F">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评审依据及扣分有效期</w:t>
            </w:r>
          </w:p>
          <w:p w14:paraId="35DD3535">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失信被执行人：以中国执行信息公开网公布的信息为准，自结果公布之日起6个月有效；</w:t>
            </w:r>
          </w:p>
          <w:p w14:paraId="348D5F69">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不良行为记录：湖南省行政区域内的不良行为记录以湖南省住房和城乡建设厅公布的结果为准，有效期按照《湖南省建筑市场责任主体不良行为记录》规定执行;湖南省行政区域外的不良行为记录以全国建筑市场监管公共服务平台公布的信息为准，按严重不良行为记录扣分，有效期按照平台中注明的有效期执行。</w:t>
            </w:r>
          </w:p>
          <w:p w14:paraId="375C29A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 行政处罚：以行政处罚决定书为准。罚款10万元以上处罚的，自结果公布之日起3个月有效；其他罚款以上行政处罚的，自结果公布之日起6个月有效；</w:t>
            </w:r>
          </w:p>
          <w:p w14:paraId="3B236279">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 刑事处罚：以刑事处罚决定书为准，自结果公布之日起1年有效；</w:t>
            </w:r>
          </w:p>
          <w:p w14:paraId="7B73DBB4">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 严重失信行为名单：以省公管办或省住房和城乡建设厅公布的相关文件为准，自结果公布之日起1年有效。</w:t>
            </w:r>
          </w:p>
          <w:p w14:paraId="02B4DF1E">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Cs w:val="21"/>
                <w:highlight w:val="none"/>
              </w:rPr>
              <w:t>上述同一违法违规事项受到刑事处罚、行政处罚、不良行为记录的，按照最高处罚决定的分值扣分。</w:t>
            </w:r>
          </w:p>
          <w:p w14:paraId="35A77219">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园林绿化工程定义</w:t>
            </w:r>
          </w:p>
          <w:p w14:paraId="0C676DFB">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办法所称园林绿化工程的定义按照住房城乡建设部《园林绿化工程建设管理规定》（建城〔2017〕251号）相关条款执行。园林绿化工程施工招标时，应在招标文件载明其属于园林绿化工程，招标人不得将具备原城市园林绿化企业资质、市政公用工程施工总承包资质、建筑工程施工总承包资质等其他企业资质作为园林绿化工程投标人资格条件。</w:t>
            </w:r>
          </w:p>
          <w:p w14:paraId="685974E7">
            <w:pPr>
              <w:keepNext w:val="0"/>
              <w:keepLines w:val="0"/>
              <w:widowControl/>
              <w:numPr>
                <w:ilvl w:val="0"/>
                <w:numId w:val="2"/>
              </w:numPr>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施工</w:t>
            </w:r>
            <w:r>
              <w:rPr>
                <w:rFonts w:hint="eastAsia" w:ascii="宋体" w:hAnsi="宋体" w:eastAsia="宋体" w:cs="宋体"/>
                <w:color w:val="auto"/>
                <w:kern w:val="0"/>
                <w:szCs w:val="21"/>
                <w:highlight w:val="none"/>
                <w:lang w:val="en-US" w:eastAsia="zh-CN"/>
              </w:rPr>
              <w:t>信用评价</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kern w:val="0"/>
                <w:szCs w:val="21"/>
                <w:highlight w:val="none"/>
                <w:lang w:val="en-US" w:eastAsia="zh-CN"/>
              </w:rPr>
              <w:t>计分要求同综合评估法后备注。</w:t>
            </w:r>
          </w:p>
          <w:p w14:paraId="51158701">
            <w:pPr>
              <w:keepNext w:val="0"/>
              <w:keepLines w:val="0"/>
              <w:suppressLineNumbers w:val="0"/>
              <w:spacing w:before="0" w:beforeAutospacing="0" w:after="0" w:afterAutospacing="0"/>
              <w:ind w:left="0" w:right="0"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4.1</w:t>
            </w:r>
            <w:r>
              <w:rPr>
                <w:rFonts w:hint="eastAsia" w:ascii="宋体" w:hAnsi="宋体" w:eastAsia="宋体" w:cs="宋体"/>
                <w:b/>
                <w:bCs/>
                <w:color w:val="auto"/>
                <w:sz w:val="21"/>
                <w:szCs w:val="21"/>
                <w:highlight w:val="none"/>
              </w:rPr>
              <w:t>信用评价</w:t>
            </w:r>
          </w:p>
          <w:p w14:paraId="1D3DD32B">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4.1</w:t>
            </w:r>
            <w:r>
              <w:rPr>
                <w:rFonts w:hint="eastAsia" w:ascii="宋体" w:hAnsi="宋体" w:eastAsia="宋体" w:cs="宋体"/>
                <w:color w:val="auto"/>
                <w:sz w:val="21"/>
                <w:szCs w:val="21"/>
                <w:highlight w:val="none"/>
              </w:rPr>
              <w:t>.1  施工单位信用评价以“湖南省智慧住建云—湖南省建筑市场监管公共服务平台”最新公布的信息为准；无施工单位信用评价查询结果的，企业投标时按照施工单位信用评价得分处于末位的合格投标人的分值计取；省外企业无施工单位信用评价查询结果的，可以提供注册地省级住房和城乡建设部门提供的施工单位信用评价结果（百分制）作为评审依据。</w:t>
            </w:r>
          </w:p>
          <w:p w14:paraId="3A2045E3">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4.1</w:t>
            </w:r>
            <w:r>
              <w:rPr>
                <w:rFonts w:hint="eastAsia" w:ascii="宋体" w:hAnsi="宋体" w:eastAsia="宋体" w:cs="宋体"/>
                <w:color w:val="auto"/>
                <w:sz w:val="21"/>
                <w:szCs w:val="21"/>
                <w:highlight w:val="none"/>
              </w:rPr>
              <w:t>.2  未参加信用评价存在信用评价不良信用信息的施工单位，按照下列不良信用信息扣分标准扣分，严重失信行为名单（含失信黑名单，下同）每次扣8分、刑事处罚每次扣2分、失信被执行人每次扣1分、行政处罚每次扣0.5分、严重不良行为记录每次扣0.5分、一般不良行为记录每次扣0.3分。湖南省行政区域内的不良行为记录以湖南省住房和城乡建设厅公布的结果为准；湖南省行政区域外的不良行为记录以全国建筑市场监管公共服务平台公布的信息为准，按严重不良行为记录扣分。</w:t>
            </w:r>
          </w:p>
          <w:p w14:paraId="6965117C">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4.1</w:t>
            </w:r>
            <w:r>
              <w:rPr>
                <w:rFonts w:hint="eastAsia" w:ascii="宋体" w:hAnsi="宋体" w:eastAsia="宋体" w:cs="宋体"/>
                <w:color w:val="auto"/>
                <w:sz w:val="21"/>
                <w:szCs w:val="21"/>
                <w:highlight w:val="none"/>
              </w:rPr>
              <w:t>.3  招标项目为专业工程、园林绿化工程的，评标时投标人的信用评价分值统一计100分。</w:t>
            </w:r>
          </w:p>
          <w:p w14:paraId="55D0A764">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val="en-US" w:eastAsia="zh-CN"/>
              </w:rPr>
              <w:t>1.4</w:t>
            </w:r>
            <w:r>
              <w:rPr>
                <w:rFonts w:hint="eastAsia" w:ascii="宋体" w:hAnsi="宋体" w:eastAsia="宋体" w:cs="宋体"/>
                <w:color w:val="auto"/>
                <w:sz w:val="21"/>
                <w:szCs w:val="21"/>
                <w:highlight w:val="none"/>
              </w:rPr>
              <w:t xml:space="preserve">  施工项目季度考评综合优良率得分以“湖南省智慧住建云—湖南省建筑市场监管公共服务平台”最新公布的信息为准，无查询结果的，投标时按照施工项目季度考评综合优良率得分处于末位的合格投标人的分值计取；省外企业无施工项目季度考评综合优良率得分查询结果的，可以提供注册地省级住房和城乡建设部门公开发布的用于计算施工项目季度考评综合优良率的相关基础数据作为评审依据。</w:t>
            </w:r>
          </w:p>
          <w:p w14:paraId="6558BE9F">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 xml:space="preserve"> 招标项目为专业工程、园林绿化工程的，评标时投标人的施工项目季度考评综合优良率统一计满分。</w:t>
            </w:r>
          </w:p>
        </w:tc>
      </w:tr>
      <w:tr w14:paraId="30F43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838" w:type="dxa"/>
            <w:vMerge w:val="restart"/>
            <w:vAlign w:val="center"/>
          </w:tcPr>
          <w:p w14:paraId="021A0771">
            <w:pPr>
              <w:keepNext w:val="0"/>
              <w:keepLines w:val="0"/>
              <w:suppressLineNumbers w:val="0"/>
              <w:spacing w:before="0" w:beforeAutospacing="0" w:after="0" w:afterAutospacing="0"/>
              <w:ind w:left="0" w:right="0"/>
              <w:jc w:val="center"/>
              <w:rPr>
                <w:rFonts w:hint="eastAsia" w:ascii="宋体" w:hAnsi="宋体" w:eastAsia="宋体" w:cs="宋体"/>
                <w:strike/>
                <w:color w:val="auto"/>
                <w:szCs w:val="21"/>
                <w:highlight w:val="none"/>
              </w:rPr>
            </w:pPr>
            <w:r>
              <w:rPr>
                <w:rFonts w:hint="eastAsia" w:ascii="宋体" w:hAnsi="宋体" w:eastAsia="宋体" w:cs="宋体"/>
                <w:color w:val="auto"/>
                <w:szCs w:val="21"/>
                <w:highlight w:val="none"/>
              </w:rPr>
              <w:t>2.2.4   （5）</w:t>
            </w:r>
          </w:p>
        </w:tc>
        <w:tc>
          <w:tcPr>
            <w:tcW w:w="8469" w:type="dxa"/>
            <w:gridSpan w:val="8"/>
            <w:vAlign w:val="center"/>
          </w:tcPr>
          <w:p w14:paraId="6AEE4A3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投标报价评审 </w:t>
            </w:r>
          </w:p>
        </w:tc>
      </w:tr>
      <w:tr w14:paraId="06CE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6" w:hRule="atLeast"/>
          <w:jc w:val="center"/>
        </w:trPr>
        <w:tc>
          <w:tcPr>
            <w:tcW w:w="838" w:type="dxa"/>
            <w:vMerge w:val="continue"/>
            <w:vAlign w:val="center"/>
          </w:tcPr>
          <w:p w14:paraId="08723B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469" w:type="dxa"/>
            <w:gridSpan w:val="8"/>
            <w:vAlign w:val="center"/>
          </w:tcPr>
          <w:p w14:paraId="60FF563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highlight w:val="none"/>
              </w:rPr>
            </w:pPr>
            <w:r>
              <w:rPr>
                <w:rFonts w:hint="eastAsia" w:ascii="宋体" w:hAnsi="宋体" w:eastAsia="宋体" w:cs="宋体"/>
                <w:color w:val="auto"/>
                <w:sz w:val="21"/>
                <w:highlight w:val="none"/>
              </w:rPr>
              <w:t>1．适用于经评审的最低投标</w:t>
            </w:r>
            <w:r>
              <w:rPr>
                <w:rFonts w:hint="eastAsia" w:ascii="宋体" w:hAnsi="宋体" w:eastAsia="宋体" w:cs="宋体"/>
                <w:color w:val="auto"/>
                <w:sz w:val="21"/>
                <w:highlight w:val="none"/>
                <w:lang w:val="en-US" w:eastAsia="zh-CN"/>
              </w:rPr>
              <w:t>价</w:t>
            </w:r>
            <w:r>
              <w:rPr>
                <w:rFonts w:hint="eastAsia" w:ascii="宋体" w:hAnsi="宋体" w:eastAsia="宋体" w:cs="宋体"/>
                <w:color w:val="auto"/>
                <w:sz w:val="21"/>
                <w:highlight w:val="none"/>
              </w:rPr>
              <w:t>法</w:t>
            </w:r>
            <w:r>
              <w:rPr>
                <w:rFonts w:hint="eastAsia" w:ascii="宋体" w:hAnsi="宋体" w:eastAsia="宋体" w:cs="宋体"/>
                <w:color w:val="auto"/>
                <w:sz w:val="21"/>
                <w:highlight w:val="none"/>
                <w:lang w:eastAsia="zh-CN"/>
              </w:rPr>
              <w:t>；</w:t>
            </w:r>
            <w:r>
              <w:rPr>
                <w:rFonts w:hint="eastAsia" w:ascii="宋体" w:hAnsi="宋体" w:eastAsia="宋体" w:cs="宋体"/>
                <w:color w:val="auto"/>
                <w:sz w:val="21"/>
                <w:highlight w:val="none"/>
              </w:rPr>
              <w:t xml:space="preserve"> </w:t>
            </w:r>
          </w:p>
          <w:p w14:paraId="13D265CC">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highlight w:val="none"/>
              </w:rPr>
            </w:pPr>
            <w:r>
              <w:rPr>
                <w:rFonts w:hint="eastAsia" w:ascii="宋体" w:hAnsi="宋体" w:eastAsia="宋体" w:cs="宋体"/>
                <w:color w:val="auto"/>
                <w:sz w:val="21"/>
                <w:highlight w:val="none"/>
              </w:rPr>
              <w:t>2．基准价：Y= A×（1-P）+B×(1-β)×P</w:t>
            </w:r>
          </w:p>
          <w:p w14:paraId="1B918575">
            <w:pPr>
              <w:keepNext w:val="0"/>
              <w:keepLines w:val="0"/>
              <w:suppressLineNumbers w:val="0"/>
              <w:spacing w:before="0" w:beforeAutospacing="0" w:after="0" w:afterAutospacing="0" w:line="360" w:lineRule="auto"/>
              <w:ind w:left="0" w:right="0" w:firstLine="0" w:firstLineChars="0"/>
              <w:jc w:val="left"/>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rPr>
              <w:t>A——进入报价评审环节</w:t>
            </w:r>
            <w:r>
              <w:rPr>
                <w:rFonts w:hint="eastAsia" w:ascii="宋体" w:hAnsi="宋体" w:eastAsia="宋体" w:cs="宋体"/>
                <w:color w:val="auto"/>
                <w:sz w:val="21"/>
                <w:highlight w:val="none"/>
                <w:lang w:val="en-US" w:eastAsia="zh-CN"/>
              </w:rPr>
              <w:t>且不低于成本的</w:t>
            </w:r>
            <w:r>
              <w:rPr>
                <w:rFonts w:hint="eastAsia" w:ascii="宋体" w:hAnsi="宋体" w:eastAsia="宋体" w:cs="宋体"/>
                <w:color w:val="auto"/>
                <w:sz w:val="21"/>
                <w:highlight w:val="none"/>
              </w:rPr>
              <w:t>最低报价</w:t>
            </w:r>
            <w:r>
              <w:rPr>
                <w:rFonts w:hint="eastAsia" w:ascii="宋体" w:hAnsi="宋体" w:eastAsia="宋体" w:cs="宋体"/>
                <w:color w:val="auto"/>
                <w:sz w:val="21"/>
                <w:highlight w:val="none"/>
                <w:lang w:eastAsia="zh-CN"/>
              </w:rPr>
              <w:t>；</w:t>
            </w:r>
          </w:p>
          <w:p w14:paraId="62FE100C">
            <w:pPr>
              <w:keepNext w:val="0"/>
              <w:keepLines w:val="0"/>
              <w:suppressLineNumbers w:val="0"/>
              <w:spacing w:before="0" w:beforeAutospacing="0" w:after="0" w:afterAutospacing="0" w:line="360" w:lineRule="auto"/>
              <w:ind w:left="0" w:right="0" w:firstLine="0" w:firstLineChars="0"/>
              <w:jc w:val="left"/>
              <w:rPr>
                <w:rFonts w:hint="eastAsia" w:ascii="宋体" w:hAnsi="宋体" w:eastAsia="宋体" w:cs="宋体"/>
                <w:color w:val="auto"/>
                <w:sz w:val="21"/>
                <w:highlight w:val="none"/>
              </w:rPr>
            </w:pPr>
            <w:r>
              <w:rPr>
                <w:rFonts w:hint="eastAsia" w:ascii="宋体" w:hAnsi="宋体" w:eastAsia="宋体" w:cs="宋体"/>
                <w:color w:val="auto"/>
                <w:sz w:val="21"/>
                <w:highlight w:val="none"/>
              </w:rPr>
              <w:t>B——最高投标限价；</w:t>
            </w:r>
          </w:p>
          <w:p w14:paraId="54C3AD2F">
            <w:pPr>
              <w:keepNext w:val="0"/>
              <w:keepLines w:val="0"/>
              <w:suppressLineNumbers w:val="0"/>
              <w:spacing w:before="0" w:beforeAutospacing="0" w:after="0" w:afterAutospacing="0" w:line="360" w:lineRule="auto"/>
              <w:ind w:left="0" w:right="0" w:firstLine="0" w:firstLineChars="0"/>
              <w:jc w:val="left"/>
              <w:rPr>
                <w:rFonts w:hint="eastAsia" w:ascii="宋体" w:hAnsi="宋体" w:eastAsia="宋体" w:cs="宋体"/>
                <w:color w:val="auto"/>
                <w:kern w:val="2"/>
                <w:sz w:val="21"/>
                <w:highlight w:val="none"/>
              </w:rPr>
            </w:pPr>
            <w:r>
              <w:rPr>
                <w:rFonts w:hint="eastAsia" w:ascii="宋体" w:hAnsi="宋体" w:eastAsia="宋体" w:cs="宋体"/>
                <w:color w:val="auto"/>
                <w:sz w:val="21"/>
                <w:highlight w:val="none"/>
              </w:rPr>
              <w:t>P——招标人根据项目实际设定抽取区间后随机抽取，抽取区间(间隔0.5%)：60%～62.5%、62.5%～65%、65%～67.5%、67.5%～70%；</w:t>
            </w:r>
            <w:r>
              <w:rPr>
                <w:rFonts w:hint="eastAsia" w:ascii="宋体" w:hAnsi="宋体" w:eastAsia="宋体" w:cs="宋体"/>
                <w:color w:val="auto"/>
                <w:sz w:val="21"/>
                <w:highlight w:val="none"/>
                <w:lang w:val="en-US" w:eastAsia="zh-CN"/>
              </w:rPr>
              <w:t>本项目的抽取区间为</w:t>
            </w:r>
            <w:r>
              <w:rPr>
                <w:rFonts w:hint="eastAsia" w:ascii="宋体" w:hAnsi="宋体" w:eastAsia="宋体" w:cs="宋体"/>
                <w:color w:val="auto"/>
                <w:sz w:val="21"/>
                <w:highlight w:val="none"/>
                <w:u w:val="single"/>
                <w:lang w:val="en-US" w:eastAsia="zh-CN"/>
              </w:rPr>
              <w:t xml:space="preserve">  </w:t>
            </w:r>
            <w:r>
              <w:rPr>
                <w:rFonts w:hint="eastAsia" w:ascii="宋体" w:hAnsi="宋体" w:eastAsia="宋体" w:cs="宋体"/>
                <w:color w:val="auto"/>
                <w:sz w:val="21"/>
                <w:highlight w:val="none"/>
                <w:u w:val="single"/>
              </w:rPr>
              <w:t>67.5%～70%</w:t>
            </w:r>
            <w:r>
              <w:rPr>
                <w:rFonts w:hint="eastAsia" w:ascii="宋体" w:hAnsi="宋体" w:eastAsia="宋体" w:cs="宋体"/>
                <w:color w:val="auto"/>
                <w:sz w:val="21"/>
                <w:highlight w:val="none"/>
                <w:u w:val="single"/>
                <w:lang w:val="en-US" w:eastAsia="zh-CN"/>
              </w:rPr>
              <w:t xml:space="preserve"> </w:t>
            </w:r>
            <w:r>
              <w:rPr>
                <w:rFonts w:hint="eastAsia" w:ascii="宋体" w:hAnsi="宋体" w:eastAsia="宋体" w:cs="宋体"/>
                <w:color w:val="auto"/>
                <w:sz w:val="21"/>
                <w:highlight w:val="none"/>
                <w:u w:val="none"/>
                <w:lang w:val="en-US" w:eastAsia="zh-CN"/>
              </w:rPr>
              <w:t>。</w:t>
            </w:r>
          </w:p>
          <w:p w14:paraId="446563C4">
            <w:pPr>
              <w:keepNext w:val="0"/>
              <w:keepLines w:val="0"/>
              <w:suppressLineNumbers w:val="0"/>
              <w:spacing w:before="0" w:beforeAutospacing="0" w:after="0" w:afterAutospacing="0" w:line="360" w:lineRule="auto"/>
              <w:ind w:left="0" w:right="0" w:firstLine="0" w:firstLineChars="0"/>
              <w:jc w:val="left"/>
              <w:rPr>
                <w:rFonts w:hint="eastAsia" w:ascii="宋体" w:hAnsi="宋体" w:eastAsia="宋体" w:cs="宋体"/>
                <w:bCs w:val="0"/>
                <w:color w:val="auto"/>
                <w:sz w:val="21"/>
                <w:highlight w:val="none"/>
                <w:lang w:eastAsia="zh-CN"/>
              </w:rPr>
            </w:pPr>
            <w:r>
              <w:rPr>
                <w:rFonts w:hint="eastAsia" w:ascii="宋体" w:hAnsi="宋体" w:eastAsia="宋体" w:cs="宋体"/>
                <w:color w:val="auto"/>
                <w:kern w:val="2"/>
                <w:sz w:val="21"/>
                <w:highlight w:val="none"/>
              </w:rPr>
              <w:t>β—— 4%、5%、6%、7%、8%</w:t>
            </w:r>
            <w:r>
              <w:rPr>
                <w:rFonts w:hint="eastAsia" w:ascii="宋体" w:hAnsi="宋体" w:eastAsia="宋体" w:cs="宋体"/>
                <w:color w:val="auto"/>
                <w:sz w:val="21"/>
                <w:highlight w:val="none"/>
              </w:rPr>
              <w:t xml:space="preserve"> ，</w:t>
            </w:r>
            <w:r>
              <w:rPr>
                <w:rFonts w:hint="eastAsia" w:ascii="宋体" w:hAnsi="宋体" w:eastAsia="宋体" w:cs="宋体"/>
                <w:color w:val="auto"/>
                <w:kern w:val="2"/>
                <w:sz w:val="21"/>
                <w:highlight w:val="none"/>
              </w:rPr>
              <w:t>开标时随机抽取确定</w:t>
            </w:r>
            <w:r>
              <w:rPr>
                <w:rFonts w:hint="eastAsia" w:ascii="宋体" w:hAnsi="宋体" w:eastAsia="宋体" w:cs="宋体"/>
                <w:color w:val="auto"/>
                <w:kern w:val="2"/>
                <w:sz w:val="21"/>
                <w:highlight w:val="none"/>
                <w:lang w:eastAsia="zh-CN"/>
              </w:rPr>
              <w:t>；</w:t>
            </w:r>
          </w:p>
          <w:p w14:paraId="503D94B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highlight w:val="none"/>
              </w:rPr>
            </w:pPr>
            <w:r>
              <w:rPr>
                <w:rFonts w:hint="eastAsia" w:ascii="宋体" w:hAnsi="宋体" w:eastAsia="宋体" w:cs="宋体"/>
                <w:bCs w:val="0"/>
                <w:color w:val="auto"/>
                <w:sz w:val="21"/>
                <w:highlight w:val="none"/>
                <w:lang w:val="en-US" w:eastAsia="zh-CN"/>
              </w:rPr>
              <w:t>3</w:t>
            </w:r>
            <w:r>
              <w:rPr>
                <w:rFonts w:hint="eastAsia" w:ascii="宋体" w:hAnsi="宋体" w:eastAsia="宋体" w:cs="宋体"/>
                <w:color w:val="auto"/>
                <w:sz w:val="21"/>
                <w:highlight w:val="none"/>
              </w:rPr>
              <w:t>．经评审的最低投标价，为进入报价评审环节的有效投标报价中大于或者等于</w:t>
            </w:r>
            <w:r>
              <w:rPr>
                <w:rFonts w:hint="eastAsia" w:ascii="宋体" w:hAnsi="宋体" w:eastAsia="宋体" w:cs="宋体"/>
                <w:color w:val="auto"/>
                <w:sz w:val="21"/>
                <w:highlight w:val="none"/>
                <w:lang w:val="en-US" w:eastAsia="zh-CN"/>
              </w:rPr>
              <w:t>基准价</w:t>
            </w:r>
            <w:r>
              <w:rPr>
                <w:rFonts w:hint="eastAsia" w:ascii="宋体" w:hAnsi="宋体" w:eastAsia="宋体" w:cs="宋体"/>
                <w:color w:val="auto"/>
                <w:sz w:val="21"/>
                <w:highlight w:val="none"/>
              </w:rPr>
              <w:t>的投标报价中的最低报价。</w:t>
            </w:r>
          </w:p>
          <w:p w14:paraId="4186A1B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lang w:val="en-US" w:eastAsia="zh-CN"/>
              </w:rPr>
              <w:t>4.如</w:t>
            </w:r>
            <w:r>
              <w:rPr>
                <w:rFonts w:hint="eastAsia" w:ascii="宋体" w:hAnsi="宋体" w:eastAsia="宋体" w:cs="宋体"/>
                <w:color w:val="auto"/>
                <w:sz w:val="21"/>
                <w:highlight w:val="none"/>
              </w:rPr>
              <w:t>进入投标报价评审的所有投标人投标报价得分均为0分的，重新招标。</w:t>
            </w:r>
          </w:p>
        </w:tc>
      </w:tr>
      <w:tr w14:paraId="4DAE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38" w:type="dxa"/>
            <w:vMerge w:val="continue"/>
            <w:vAlign w:val="center"/>
          </w:tcPr>
          <w:p w14:paraId="4D45F67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98" w:type="dxa"/>
            <w:gridSpan w:val="2"/>
            <w:vAlign w:val="center"/>
          </w:tcPr>
          <w:p w14:paraId="2F5D4C6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评审标准</w:t>
            </w:r>
          </w:p>
        </w:tc>
        <w:tc>
          <w:tcPr>
            <w:tcW w:w="1376" w:type="dxa"/>
            <w:gridSpan w:val="2"/>
            <w:vAlign w:val="center"/>
          </w:tcPr>
          <w:p w14:paraId="74ED9D0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计分方式</w:t>
            </w:r>
          </w:p>
        </w:tc>
        <w:tc>
          <w:tcPr>
            <w:tcW w:w="5095" w:type="dxa"/>
            <w:gridSpan w:val="4"/>
            <w:vAlign w:val="center"/>
          </w:tcPr>
          <w:p w14:paraId="5B5896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08CD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838" w:type="dxa"/>
            <w:vMerge w:val="continue"/>
            <w:vAlign w:val="center"/>
          </w:tcPr>
          <w:p w14:paraId="7BB1FB4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98" w:type="dxa"/>
            <w:gridSpan w:val="2"/>
            <w:vAlign w:val="center"/>
          </w:tcPr>
          <w:p w14:paraId="2152954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投标报价＞基准价</w:t>
            </w:r>
          </w:p>
        </w:tc>
        <w:tc>
          <w:tcPr>
            <w:tcW w:w="1376" w:type="dxa"/>
            <w:gridSpan w:val="2"/>
            <w:vAlign w:val="center"/>
          </w:tcPr>
          <w:p w14:paraId="2EAF5D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100-0.5L</w:t>
            </w:r>
          </w:p>
        </w:tc>
        <w:tc>
          <w:tcPr>
            <w:tcW w:w="5095" w:type="dxa"/>
            <w:gridSpan w:val="4"/>
            <w:vMerge w:val="restart"/>
            <w:vAlign w:val="center"/>
          </w:tcPr>
          <w:p w14:paraId="68F17AB0">
            <w:pPr>
              <w:keepNext w:val="0"/>
              <w:keepLines w:val="0"/>
              <w:suppressLineNumbers w:val="0"/>
              <w:spacing w:before="0" w:beforeAutospacing="0" w:after="0" w:afterAutospacing="0" w:line="320" w:lineRule="exact"/>
              <w:ind w:left="0" w:leftChars="0" w:right="0" w:firstLine="840" w:firstLineChars="3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投标报价 </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t xml:space="preserve"> 经评审的最低投标价</w:t>
            </w:r>
          </w:p>
          <w:p w14:paraId="4EF45EA7">
            <w:pPr>
              <w:keepNext w:val="0"/>
              <w:keepLines w:val="0"/>
              <w:suppressLineNumbers w:val="0"/>
              <w:spacing w:before="0" w:beforeAutospacing="0" w:after="0" w:afterAutospacing="0" w:line="320" w:lineRule="exact"/>
              <w:ind w:left="0" w:right="0"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L=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100</w:t>
            </w:r>
          </w:p>
          <w:p w14:paraId="04978BA3">
            <w:pPr>
              <w:keepNext w:val="0"/>
              <w:keepLines w:val="0"/>
              <w:suppressLineNumbers w:val="0"/>
              <w:spacing w:before="0" w:beforeAutospacing="0" w:after="0" w:afterAutospacing="0"/>
              <w:ind w:left="0" w:right="0" w:firstLine="960" w:firstLineChars="400"/>
              <w:rPr>
                <w:rFonts w:hint="eastAsia" w:ascii="宋体" w:hAnsi="宋体" w:eastAsia="宋体" w:cs="宋体"/>
                <w:color w:val="auto"/>
                <w:szCs w:val="21"/>
                <w:highlight w:val="none"/>
              </w:rPr>
            </w:pPr>
            <w:r>
              <w:rPr>
                <w:rFonts w:hint="eastAsia" w:ascii="宋体" w:hAnsi="宋体" w:eastAsia="宋体" w:cs="宋体"/>
                <w:color w:val="auto"/>
                <w:sz w:val="24"/>
                <w:highlight w:val="none"/>
              </w:rPr>
              <w:t>经评审的最低投标价</w:t>
            </w:r>
          </w:p>
        </w:tc>
      </w:tr>
      <w:tr w14:paraId="5842C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38" w:type="dxa"/>
            <w:vMerge w:val="continue"/>
            <w:vAlign w:val="center"/>
          </w:tcPr>
          <w:p w14:paraId="7A1B36D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98" w:type="dxa"/>
            <w:gridSpan w:val="2"/>
            <w:vAlign w:val="center"/>
          </w:tcPr>
          <w:p w14:paraId="55E0000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投标报价＝经评审的最低投标价</w:t>
            </w:r>
          </w:p>
        </w:tc>
        <w:tc>
          <w:tcPr>
            <w:tcW w:w="1376" w:type="dxa"/>
            <w:gridSpan w:val="2"/>
            <w:vAlign w:val="center"/>
          </w:tcPr>
          <w:p w14:paraId="3C4C0D7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w:t>
            </w:r>
          </w:p>
        </w:tc>
        <w:tc>
          <w:tcPr>
            <w:tcW w:w="5095" w:type="dxa"/>
            <w:gridSpan w:val="4"/>
            <w:vAlign w:val="center"/>
          </w:tcPr>
          <w:p w14:paraId="6AB47E7E">
            <w:pPr>
              <w:keepNext w:val="0"/>
              <w:keepLines w:val="0"/>
              <w:suppressLineNumbers w:val="0"/>
              <w:spacing w:before="0" w:beforeAutospacing="0" w:after="0" w:afterAutospacing="0"/>
              <w:ind w:left="0" w:right="0" w:firstLine="840" w:firstLineChars="400"/>
              <w:rPr>
                <w:rFonts w:hint="eastAsia" w:ascii="宋体" w:hAnsi="宋体" w:eastAsia="宋体" w:cs="宋体"/>
                <w:color w:val="auto"/>
                <w:szCs w:val="21"/>
                <w:highlight w:val="none"/>
              </w:rPr>
            </w:pPr>
          </w:p>
        </w:tc>
      </w:tr>
      <w:tr w14:paraId="1C4C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38" w:type="dxa"/>
            <w:vMerge w:val="continue"/>
            <w:vAlign w:val="center"/>
          </w:tcPr>
          <w:p w14:paraId="761A368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98" w:type="dxa"/>
            <w:gridSpan w:val="2"/>
            <w:vAlign w:val="center"/>
          </w:tcPr>
          <w:p w14:paraId="28AB2CA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投标报价＜经评审的最低投标价</w:t>
            </w:r>
          </w:p>
        </w:tc>
        <w:tc>
          <w:tcPr>
            <w:tcW w:w="1376" w:type="dxa"/>
            <w:gridSpan w:val="2"/>
            <w:vAlign w:val="center"/>
          </w:tcPr>
          <w:p w14:paraId="10DCE0E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0</w:t>
            </w:r>
          </w:p>
        </w:tc>
        <w:tc>
          <w:tcPr>
            <w:tcW w:w="5095" w:type="dxa"/>
            <w:gridSpan w:val="4"/>
            <w:vAlign w:val="center"/>
          </w:tcPr>
          <w:p w14:paraId="0976F862">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1B94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38" w:type="dxa"/>
            <w:vAlign w:val="center"/>
          </w:tcPr>
          <w:p w14:paraId="7BFE847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条款号</w:t>
            </w:r>
          </w:p>
        </w:tc>
        <w:tc>
          <w:tcPr>
            <w:tcW w:w="8469" w:type="dxa"/>
            <w:gridSpan w:val="8"/>
            <w:vAlign w:val="center"/>
          </w:tcPr>
          <w:p w14:paraId="178E514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 w:firstLineChars="2"/>
              <w:jc w:val="center"/>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编列内容</w:t>
            </w:r>
          </w:p>
        </w:tc>
      </w:tr>
      <w:tr w14:paraId="4721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838" w:type="dxa"/>
            <w:vAlign w:val="center"/>
          </w:tcPr>
          <w:p w14:paraId="3204ABF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099" w:type="dxa"/>
            <w:gridSpan w:val="3"/>
            <w:vAlign w:val="center"/>
          </w:tcPr>
          <w:p w14:paraId="351E833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评标详细程序</w:t>
            </w:r>
          </w:p>
        </w:tc>
        <w:tc>
          <w:tcPr>
            <w:tcW w:w="6370" w:type="dxa"/>
            <w:gridSpan w:val="5"/>
            <w:vAlign w:val="center"/>
          </w:tcPr>
          <w:p w14:paraId="2E2AC22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详见本章附件3-1</w:t>
            </w:r>
          </w:p>
        </w:tc>
      </w:tr>
      <w:tr w14:paraId="1321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838" w:type="dxa"/>
            <w:vAlign w:val="center"/>
          </w:tcPr>
          <w:p w14:paraId="694B374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w:t>
            </w:r>
          </w:p>
        </w:tc>
        <w:tc>
          <w:tcPr>
            <w:tcW w:w="2099" w:type="dxa"/>
            <w:gridSpan w:val="3"/>
            <w:vAlign w:val="center"/>
          </w:tcPr>
          <w:p w14:paraId="45FB92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否决投标情形</w:t>
            </w:r>
          </w:p>
        </w:tc>
        <w:tc>
          <w:tcPr>
            <w:tcW w:w="6370" w:type="dxa"/>
            <w:gridSpan w:val="5"/>
            <w:vAlign w:val="center"/>
          </w:tcPr>
          <w:p w14:paraId="1DB283A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详见第二章附件2-2</w:t>
            </w:r>
          </w:p>
        </w:tc>
      </w:tr>
      <w:tr w14:paraId="39E1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38" w:type="dxa"/>
            <w:vAlign w:val="center"/>
          </w:tcPr>
          <w:p w14:paraId="53A66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w:t>
            </w:r>
          </w:p>
        </w:tc>
        <w:tc>
          <w:tcPr>
            <w:tcW w:w="2099" w:type="dxa"/>
            <w:gridSpan w:val="3"/>
            <w:vAlign w:val="center"/>
          </w:tcPr>
          <w:p w14:paraId="33D7FE6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判断投标人是否低于成本报价</w:t>
            </w:r>
          </w:p>
        </w:tc>
        <w:tc>
          <w:tcPr>
            <w:tcW w:w="6370" w:type="dxa"/>
            <w:gridSpan w:val="5"/>
            <w:vAlign w:val="center"/>
          </w:tcPr>
          <w:p w14:paraId="357FD05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详见第二章附件2-3投标报价成本评审办法</w:t>
            </w:r>
          </w:p>
        </w:tc>
      </w:tr>
      <w:tr w14:paraId="3D81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jc w:val="center"/>
        </w:trPr>
        <w:tc>
          <w:tcPr>
            <w:tcW w:w="838" w:type="dxa"/>
            <w:vAlign w:val="center"/>
          </w:tcPr>
          <w:p w14:paraId="4E0D46F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p>
        </w:tc>
        <w:tc>
          <w:tcPr>
            <w:tcW w:w="2099" w:type="dxa"/>
            <w:gridSpan w:val="3"/>
            <w:vAlign w:val="center"/>
          </w:tcPr>
          <w:p w14:paraId="55168A1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进入</w:t>
            </w:r>
            <w:r>
              <w:rPr>
                <w:rFonts w:hint="eastAsia" w:ascii="宋体" w:hAnsi="宋体" w:eastAsia="宋体" w:cs="宋体"/>
                <w:color w:val="auto"/>
                <w:szCs w:val="21"/>
                <w:highlight w:val="none"/>
                <w:lang w:val="en-US" w:eastAsia="zh-CN"/>
              </w:rPr>
              <w:t>投标报价</w:t>
            </w:r>
            <w:r>
              <w:rPr>
                <w:rFonts w:hint="eastAsia" w:ascii="宋体" w:hAnsi="宋体" w:eastAsia="宋体" w:cs="宋体"/>
                <w:color w:val="auto"/>
                <w:szCs w:val="21"/>
                <w:highlight w:val="none"/>
              </w:rPr>
              <w:t>评审阶段投标人数量的确定方式</w:t>
            </w:r>
          </w:p>
        </w:tc>
        <w:tc>
          <w:tcPr>
            <w:tcW w:w="6370" w:type="dxa"/>
            <w:gridSpan w:val="5"/>
            <w:vAlign w:val="center"/>
          </w:tcPr>
          <w:p w14:paraId="2758854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详见投标人须知前附表</w:t>
            </w:r>
          </w:p>
        </w:tc>
      </w:tr>
    </w:tbl>
    <w:p w14:paraId="487625A5">
      <w:pPr>
        <w:widowControl/>
        <w:jc w:val="left"/>
        <w:rPr>
          <w:rFonts w:hint="eastAsia" w:ascii="宋体" w:hAnsi="宋体" w:eastAsia="宋体" w:cs="宋体"/>
          <w:color w:val="auto"/>
          <w:highlight w:val="none"/>
        </w:rPr>
      </w:pPr>
    </w:p>
    <w:p w14:paraId="52ACCA3C">
      <w:pPr>
        <w:spacing w:line="312" w:lineRule="auto"/>
        <w:jc w:val="center"/>
        <w:outlineLvl w:val="1"/>
        <w:rPr>
          <w:rFonts w:hint="eastAsia" w:ascii="宋体" w:hAnsi="宋体" w:eastAsia="宋体" w:cs="宋体"/>
          <w:bCs/>
          <w:color w:val="auto"/>
          <w:sz w:val="30"/>
          <w:highlight w:val="none"/>
        </w:rPr>
      </w:pPr>
      <w:r>
        <w:rPr>
          <w:rFonts w:hint="eastAsia" w:ascii="宋体" w:hAnsi="宋体" w:eastAsia="宋体" w:cs="宋体"/>
          <w:color w:val="auto"/>
          <w:highlight w:val="none"/>
        </w:rPr>
        <w:br w:type="page"/>
      </w:r>
      <w:bookmarkStart w:id="343" w:name="_Toc24662"/>
      <w:bookmarkStart w:id="344" w:name="_Toc1792"/>
      <w:bookmarkStart w:id="345" w:name="_Toc12406"/>
      <w:bookmarkStart w:id="346" w:name="_Toc18892"/>
      <w:bookmarkStart w:id="347" w:name="_Toc22891"/>
      <w:r>
        <w:rPr>
          <w:rFonts w:hint="eastAsia" w:ascii="宋体" w:hAnsi="宋体" w:eastAsia="宋体" w:cs="宋体"/>
          <w:bCs/>
          <w:color w:val="auto"/>
          <w:sz w:val="30"/>
          <w:highlight w:val="none"/>
        </w:rPr>
        <w:t>评标办法（经评审的最低投标价法）</w:t>
      </w:r>
      <w:bookmarkEnd w:id="343"/>
      <w:bookmarkEnd w:id="344"/>
      <w:bookmarkEnd w:id="345"/>
      <w:bookmarkEnd w:id="346"/>
      <w:bookmarkEnd w:id="347"/>
    </w:p>
    <w:p w14:paraId="141192BF">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本次评标采用</w:t>
      </w:r>
      <w:r>
        <w:rPr>
          <w:rFonts w:hint="eastAsia" w:ascii="宋体" w:hAnsi="宋体" w:eastAsia="宋体" w:cs="宋体"/>
          <w:color w:val="auto"/>
          <w:highlight w:val="none"/>
        </w:rPr>
        <w:t>经评审的最低投标价法。评标委员会对满足招标文件实质要求的投标文件，根据规定的评分标准进行评审计分，</w:t>
      </w:r>
      <w:r>
        <w:rPr>
          <w:rFonts w:hint="eastAsia" w:ascii="宋体" w:hAnsi="宋体" w:eastAsia="宋体" w:cs="宋体"/>
          <w:color w:val="auto"/>
          <w:szCs w:val="21"/>
          <w:highlight w:val="none"/>
        </w:rPr>
        <w:t>并按评标总得分由高到低顺序推荐中标候选人。</w:t>
      </w:r>
    </w:p>
    <w:p w14:paraId="47FC1F4B">
      <w:pPr>
        <w:pStyle w:val="8"/>
        <w:pageBreakBefore w:val="0"/>
        <w:widowControl w:val="0"/>
        <w:kinsoku/>
        <w:wordWrap/>
        <w:overflowPunct/>
        <w:topLinePunct w:val="0"/>
        <w:autoSpaceDE/>
        <w:autoSpaceDN/>
        <w:bidi w:val="0"/>
        <w:adjustRightInd/>
        <w:snapToGrid w:val="0"/>
        <w:spacing w:before="0" w:after="0" w:line="400" w:lineRule="exact"/>
        <w:textAlignment w:val="auto"/>
        <w:rPr>
          <w:rFonts w:hint="eastAsia" w:ascii="宋体" w:hAnsi="宋体" w:eastAsia="宋体" w:cs="宋体"/>
          <w:b w:val="0"/>
          <w:bCs w:val="0"/>
          <w:color w:val="auto"/>
          <w:sz w:val="30"/>
          <w:highlight w:val="none"/>
        </w:rPr>
      </w:pPr>
      <w:bookmarkStart w:id="348" w:name="_Toc9178529"/>
      <w:bookmarkStart w:id="349" w:name="_Toc31859"/>
      <w:bookmarkStart w:id="350" w:name="_Toc7348"/>
      <w:bookmarkStart w:id="351" w:name="_Toc18635"/>
      <w:bookmarkStart w:id="352" w:name="_Toc80006210"/>
      <w:bookmarkStart w:id="353" w:name="_Toc80006100"/>
      <w:bookmarkStart w:id="354" w:name="_Toc14670"/>
      <w:bookmarkStart w:id="355" w:name="_Toc797"/>
      <w:bookmarkStart w:id="356" w:name="_Toc9178332"/>
      <w:bookmarkStart w:id="357" w:name="_Toc9178190"/>
      <w:r>
        <w:rPr>
          <w:rFonts w:hint="eastAsia" w:ascii="宋体" w:hAnsi="宋体" w:eastAsia="宋体" w:cs="宋体"/>
          <w:b w:val="0"/>
          <w:bCs w:val="0"/>
          <w:color w:val="auto"/>
          <w:sz w:val="30"/>
          <w:highlight w:val="none"/>
        </w:rPr>
        <w:t>1.评审标准</w:t>
      </w:r>
      <w:bookmarkEnd w:id="348"/>
      <w:bookmarkEnd w:id="349"/>
      <w:bookmarkEnd w:id="350"/>
      <w:bookmarkEnd w:id="351"/>
      <w:bookmarkEnd w:id="352"/>
      <w:bookmarkEnd w:id="353"/>
      <w:bookmarkEnd w:id="354"/>
      <w:bookmarkEnd w:id="355"/>
      <w:bookmarkEnd w:id="356"/>
      <w:bookmarkEnd w:id="357"/>
    </w:p>
    <w:p w14:paraId="532AE22F">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1.1 形式评审标准：见评标办法前附表。</w:t>
      </w:r>
    </w:p>
    <w:p w14:paraId="41C66368">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1.2 资格评审标准：见评标办法前附表</w:t>
      </w:r>
    </w:p>
    <w:p w14:paraId="40C6E8DA">
      <w:pPr>
        <w:pageBreakBefore w:val="0"/>
        <w:widowControl w:val="0"/>
        <w:kinsoku/>
        <w:wordWrap/>
        <w:overflowPunct/>
        <w:topLinePunct w:val="0"/>
        <w:autoSpaceDE/>
        <w:autoSpaceDN/>
        <w:bidi w:val="0"/>
        <w:adjustRightInd/>
        <w:snapToGrid w:val="0"/>
        <w:spacing w:line="400" w:lineRule="exact"/>
        <w:ind w:firstLine="840" w:firstLineChars="400"/>
        <w:textAlignment w:val="auto"/>
        <w:rPr>
          <w:rFonts w:hint="eastAsia" w:ascii="宋体" w:hAnsi="宋体" w:eastAsia="宋体" w:cs="宋体"/>
          <w:color w:val="auto"/>
          <w:highlight w:val="none"/>
        </w:rPr>
      </w:pPr>
      <w:r>
        <w:rPr>
          <w:rFonts w:hint="eastAsia" w:ascii="宋体" w:hAnsi="宋体" w:eastAsia="宋体" w:cs="宋体"/>
          <w:color w:val="auto"/>
          <w:highlight w:val="none"/>
        </w:rPr>
        <w:t>已进行资格预审的，见本招标项目资格预审文件第三章“资格审查办法”详细审查标准</w:t>
      </w:r>
    </w:p>
    <w:p w14:paraId="33DDC5AB">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1.3 响应性评审标准：见评标办法前附表。</w:t>
      </w:r>
    </w:p>
    <w:p w14:paraId="3AC726EE">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rPr>
        <w:t>施工组织设计评审标准：见评标办法前附表；</w:t>
      </w:r>
    </w:p>
    <w:p w14:paraId="66989AC6">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rPr>
        <w:t>业绩及信用评审评审标准：见评标办法前附表；</w:t>
      </w:r>
    </w:p>
    <w:p w14:paraId="67AE6016">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rPr>
        <w:t>投标报价评审标准：见评标办法前附表。</w:t>
      </w:r>
    </w:p>
    <w:p w14:paraId="3E87B44C">
      <w:pPr>
        <w:pStyle w:val="8"/>
        <w:pageBreakBefore w:val="0"/>
        <w:widowControl w:val="0"/>
        <w:kinsoku/>
        <w:wordWrap/>
        <w:overflowPunct/>
        <w:topLinePunct w:val="0"/>
        <w:autoSpaceDE/>
        <w:autoSpaceDN/>
        <w:bidi w:val="0"/>
        <w:adjustRightInd/>
        <w:snapToGrid w:val="0"/>
        <w:spacing w:before="0" w:after="0" w:line="400" w:lineRule="exact"/>
        <w:textAlignment w:val="auto"/>
        <w:rPr>
          <w:rFonts w:hint="eastAsia" w:ascii="宋体" w:hAnsi="宋体" w:eastAsia="宋体" w:cs="宋体"/>
          <w:b w:val="0"/>
          <w:bCs w:val="0"/>
          <w:color w:val="auto"/>
          <w:sz w:val="30"/>
          <w:highlight w:val="none"/>
          <w:lang w:val="en-US" w:eastAsia="zh-CN"/>
        </w:rPr>
      </w:pPr>
      <w:bookmarkStart w:id="358" w:name="_Toc9178333"/>
      <w:bookmarkStart w:id="359" w:name="_Toc9178191"/>
      <w:bookmarkStart w:id="360" w:name="_Toc80006211"/>
      <w:bookmarkStart w:id="361" w:name="_Toc9178530"/>
      <w:bookmarkStart w:id="362" w:name="_Toc80006101"/>
      <w:bookmarkStart w:id="363" w:name="_Toc3624"/>
      <w:bookmarkStart w:id="364" w:name="_Toc30079"/>
      <w:bookmarkStart w:id="365" w:name="_Toc15653"/>
      <w:bookmarkStart w:id="366" w:name="_Toc30513"/>
      <w:bookmarkStart w:id="367" w:name="_Toc30304"/>
      <w:r>
        <w:rPr>
          <w:rFonts w:hint="eastAsia" w:ascii="宋体" w:hAnsi="宋体" w:eastAsia="宋体" w:cs="宋体"/>
          <w:b w:val="0"/>
          <w:bCs w:val="0"/>
          <w:color w:val="auto"/>
          <w:sz w:val="30"/>
          <w:highlight w:val="none"/>
        </w:rPr>
        <w:t>2.评审程序</w:t>
      </w:r>
      <w:bookmarkEnd w:id="358"/>
      <w:bookmarkEnd w:id="359"/>
      <w:bookmarkEnd w:id="360"/>
      <w:bookmarkEnd w:id="361"/>
      <w:bookmarkEnd w:id="362"/>
      <w:r>
        <w:rPr>
          <w:rFonts w:hint="eastAsia" w:ascii="宋体" w:hAnsi="宋体" w:eastAsia="宋体" w:cs="宋体"/>
          <w:b w:val="0"/>
          <w:bCs w:val="0"/>
          <w:color w:val="auto"/>
          <w:sz w:val="30"/>
          <w:highlight w:val="none"/>
          <w:lang w:val="en-US" w:eastAsia="zh-CN"/>
        </w:rPr>
        <w:t>及澄清</w:t>
      </w:r>
      <w:bookmarkEnd w:id="363"/>
      <w:bookmarkEnd w:id="364"/>
      <w:bookmarkEnd w:id="365"/>
      <w:bookmarkEnd w:id="366"/>
      <w:bookmarkEnd w:id="367"/>
    </w:p>
    <w:p w14:paraId="76F3A988">
      <w:pPr>
        <w:pStyle w:val="10"/>
        <w:pageBreakBefore w:val="0"/>
        <w:widowControl w:val="0"/>
        <w:shd w:val="clear"/>
        <w:kinsoku/>
        <w:wordWrap/>
        <w:overflowPunct/>
        <w:topLinePunct w:val="0"/>
        <w:autoSpaceDE/>
        <w:autoSpaceDN/>
        <w:bidi w:val="0"/>
        <w:adjustRightInd/>
        <w:snapToGrid w:val="0"/>
        <w:spacing w:line="400" w:lineRule="exact"/>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rPr>
        <w:t>2.1 评审</w:t>
      </w:r>
      <w:r>
        <w:rPr>
          <w:rFonts w:hint="eastAsia" w:ascii="宋体" w:hAnsi="宋体" w:eastAsia="宋体" w:cs="宋体"/>
          <w:b w:val="0"/>
          <w:bCs w:val="0"/>
          <w:color w:val="auto"/>
          <w:sz w:val="24"/>
          <w:highlight w:val="none"/>
          <w:lang w:val="en-US" w:eastAsia="zh-CN"/>
        </w:rPr>
        <w:t>程序</w:t>
      </w:r>
    </w:p>
    <w:p w14:paraId="71DFDC3A">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1．</w:t>
      </w:r>
      <w:r>
        <w:rPr>
          <w:rFonts w:hint="eastAsia" w:ascii="宋体" w:hAnsi="宋体" w:eastAsia="宋体" w:cs="宋体"/>
          <w:color w:val="auto"/>
          <w:kern w:val="0"/>
          <w:szCs w:val="32"/>
          <w:highlight w:val="none"/>
          <w:lang w:val="en-US" w:eastAsia="zh-CN"/>
        </w:rPr>
        <w:t>施工组织设计</w:t>
      </w:r>
      <w:r>
        <w:rPr>
          <w:rFonts w:hint="eastAsia" w:ascii="宋体" w:hAnsi="宋体" w:eastAsia="宋体" w:cs="宋体"/>
          <w:color w:val="auto"/>
          <w:kern w:val="0"/>
          <w:szCs w:val="32"/>
          <w:highlight w:val="none"/>
        </w:rPr>
        <w:t>评审。</w:t>
      </w:r>
    </w:p>
    <w:p w14:paraId="31D20FF9">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2．</w:t>
      </w:r>
      <w:r>
        <w:rPr>
          <w:rFonts w:hint="eastAsia" w:ascii="宋体" w:hAnsi="宋体" w:eastAsia="宋体" w:cs="宋体"/>
          <w:color w:val="auto"/>
          <w:kern w:val="0"/>
          <w:szCs w:val="32"/>
          <w:highlight w:val="none"/>
          <w:lang w:val="en-US" w:eastAsia="zh-CN"/>
        </w:rPr>
        <w:t>形式、资格、响应性评审</w:t>
      </w:r>
      <w:r>
        <w:rPr>
          <w:rFonts w:hint="eastAsia" w:ascii="宋体" w:hAnsi="宋体" w:eastAsia="宋体" w:cs="宋体"/>
          <w:color w:val="auto"/>
          <w:kern w:val="0"/>
          <w:szCs w:val="32"/>
          <w:highlight w:val="none"/>
        </w:rPr>
        <w:t>。</w:t>
      </w:r>
    </w:p>
    <w:p w14:paraId="4D69461E">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3.</w:t>
      </w:r>
      <w:r>
        <w:rPr>
          <w:rFonts w:hint="eastAsia" w:ascii="宋体" w:hAnsi="宋体" w:eastAsia="宋体" w:cs="宋体"/>
          <w:color w:val="auto"/>
          <w:kern w:val="0"/>
          <w:szCs w:val="32"/>
          <w:highlight w:val="none"/>
          <w:lang w:val="en-US" w:eastAsia="zh-CN"/>
        </w:rPr>
        <w:t xml:space="preserve"> 业绩及信用</w:t>
      </w:r>
      <w:r>
        <w:rPr>
          <w:rFonts w:hint="eastAsia" w:ascii="宋体" w:hAnsi="宋体" w:eastAsia="宋体" w:cs="宋体"/>
          <w:color w:val="auto"/>
          <w:kern w:val="0"/>
          <w:szCs w:val="32"/>
          <w:highlight w:val="none"/>
        </w:rPr>
        <w:t>评审。</w:t>
      </w:r>
    </w:p>
    <w:p w14:paraId="7EE9F937">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4．确定</w:t>
      </w:r>
      <w:r>
        <w:rPr>
          <w:rFonts w:hint="eastAsia" w:ascii="宋体" w:hAnsi="宋体" w:eastAsia="宋体" w:cs="宋体"/>
          <w:color w:val="auto"/>
          <w:kern w:val="0"/>
          <w:szCs w:val="32"/>
          <w:highlight w:val="none"/>
          <w:lang w:val="en-US" w:eastAsia="zh-CN"/>
        </w:rPr>
        <w:t>进入报价评审的</w:t>
      </w:r>
      <w:r>
        <w:rPr>
          <w:rFonts w:hint="eastAsia" w:ascii="宋体" w:hAnsi="宋体" w:eastAsia="宋体" w:cs="宋体"/>
          <w:color w:val="auto"/>
          <w:kern w:val="0"/>
          <w:szCs w:val="32"/>
          <w:highlight w:val="none"/>
        </w:rPr>
        <w:t>投标人。</w:t>
      </w:r>
    </w:p>
    <w:p w14:paraId="78C7EBD2">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5．报价评审。</w:t>
      </w:r>
    </w:p>
    <w:p w14:paraId="70789168">
      <w:pPr>
        <w:pageBreakBefore w:val="0"/>
        <w:widowControl w:val="0"/>
        <w:shd w:val="clear" w:color="auto"/>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kern w:val="0"/>
          <w:szCs w:val="32"/>
          <w:highlight w:val="none"/>
        </w:rPr>
      </w:pPr>
      <w:r>
        <w:rPr>
          <w:rFonts w:hint="eastAsia" w:ascii="宋体" w:hAnsi="宋体" w:eastAsia="宋体" w:cs="宋体"/>
          <w:color w:val="auto"/>
          <w:kern w:val="0"/>
          <w:szCs w:val="32"/>
          <w:highlight w:val="none"/>
        </w:rPr>
        <w:t>6．汇总评分结果。</w:t>
      </w:r>
    </w:p>
    <w:p w14:paraId="23251080">
      <w:pPr>
        <w:pStyle w:val="10"/>
        <w:pageBreakBefore w:val="0"/>
        <w:widowControl w:val="0"/>
        <w:shd w:val="clear"/>
        <w:kinsoku/>
        <w:wordWrap/>
        <w:overflowPunct/>
        <w:topLinePunct w:val="0"/>
        <w:autoSpaceDE/>
        <w:autoSpaceDN/>
        <w:bidi w:val="0"/>
        <w:adjustRightInd/>
        <w:snapToGrid w:val="0"/>
        <w:spacing w:line="400" w:lineRule="exac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2.2 投标文件的澄清和补正</w:t>
      </w:r>
    </w:p>
    <w:p w14:paraId="3B26A953">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评标委员会可以书面形式要求投标人对所提交的投标文件中不明确的内容进行书面澄清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说明或者补正。评标委员会不接受投标人主动提出的澄清、说明或补正。</w:t>
      </w:r>
    </w:p>
    <w:p w14:paraId="03DC95DD">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.2 澄清、说明和补正不得改变投标文件的实质性内容。投标人的书面澄清、说明和补正属于投标文件的组成部分。</w:t>
      </w:r>
    </w:p>
    <w:p w14:paraId="71D3D099">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.3 评标委员会对投标人提交的澄清、说明或补正有疑问的，可以要求投标人进一步澄清、说明或补正</w:t>
      </w:r>
      <w:r>
        <w:rPr>
          <w:rFonts w:hint="eastAsia" w:ascii="宋体" w:hAnsi="宋体" w:eastAsia="宋体" w:cs="宋体"/>
          <w:color w:val="auto"/>
          <w:highlight w:val="none"/>
          <w:lang w:eastAsia="zh-CN"/>
        </w:rPr>
        <w:t>。</w:t>
      </w:r>
    </w:p>
    <w:p w14:paraId="491EF0B2">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bCs/>
          <w:color w:val="auto"/>
          <w:szCs w:val="21"/>
          <w:highlight w:val="none"/>
          <w:lang w:val="en-US" w:eastAsia="zh-CN"/>
        </w:rPr>
        <w:t xml:space="preserve">2.2.4 </w:t>
      </w:r>
      <w:r>
        <w:rPr>
          <w:rFonts w:hint="eastAsia" w:ascii="宋体" w:hAnsi="宋体" w:eastAsia="宋体" w:cs="宋体"/>
          <w:bCs/>
          <w:color w:val="auto"/>
          <w:szCs w:val="21"/>
          <w:highlight w:val="none"/>
        </w:rPr>
        <w:t>评审过程中，评标委员会</w:t>
      </w:r>
      <w:r>
        <w:rPr>
          <w:rFonts w:hint="eastAsia" w:ascii="宋体" w:hAnsi="宋体" w:eastAsia="宋体" w:cs="宋体"/>
          <w:bCs/>
          <w:color w:val="auto"/>
          <w:szCs w:val="21"/>
          <w:highlight w:val="none"/>
          <w:lang w:val="en-US" w:eastAsia="zh-CN"/>
        </w:rPr>
        <w:t>拟作出否决投标决定的</w:t>
      </w:r>
      <w:r>
        <w:rPr>
          <w:rFonts w:hint="eastAsia" w:ascii="宋体" w:hAnsi="宋体" w:eastAsia="宋体" w:cs="宋体"/>
          <w:bCs/>
          <w:color w:val="auto"/>
          <w:szCs w:val="21"/>
          <w:highlight w:val="none"/>
        </w:rPr>
        <w:t>，应</w:t>
      </w:r>
      <w:r>
        <w:rPr>
          <w:rFonts w:hint="eastAsia" w:ascii="宋体" w:hAnsi="宋体" w:eastAsia="宋体" w:cs="宋体"/>
          <w:bCs/>
          <w:color w:val="auto"/>
          <w:szCs w:val="21"/>
          <w:highlight w:val="none"/>
          <w:lang w:val="en-US" w:eastAsia="zh-CN"/>
        </w:rPr>
        <w:t>要求投标人进行书面澄清、说明或补正，未进行该程序的，不得作出否决投标决定，投标人未按要求进行回复的除外。</w:t>
      </w:r>
    </w:p>
    <w:p w14:paraId="05CA0465">
      <w:pPr>
        <w:pageBreakBefore w:val="0"/>
        <w:widowControl w:val="0"/>
        <w:kinsoku/>
        <w:wordWrap/>
        <w:overflowPunct/>
        <w:topLinePunct w:val="0"/>
        <w:autoSpaceDE/>
        <w:autoSpaceDN/>
        <w:bidi w:val="0"/>
        <w:adjustRightInd/>
        <w:snapToGrid w:val="0"/>
        <w:spacing w:line="400" w:lineRule="exact"/>
        <w:ind w:firstLine="562" w:firstLineChars="200"/>
        <w:textAlignment w:val="auto"/>
        <w:outlineLvl w:val="1"/>
        <w:rPr>
          <w:rFonts w:hint="eastAsia" w:ascii="宋体" w:hAnsi="宋体" w:eastAsia="宋体" w:cs="宋体"/>
          <w:b/>
          <w:bCs/>
          <w:color w:val="auto"/>
          <w:sz w:val="28"/>
          <w:szCs w:val="28"/>
          <w:highlight w:val="none"/>
        </w:rPr>
      </w:pPr>
      <w:bookmarkStart w:id="368" w:name="_Toc31481"/>
      <w:bookmarkStart w:id="369" w:name="_Toc80006212"/>
      <w:bookmarkStart w:id="370" w:name="_Toc27997"/>
      <w:bookmarkStart w:id="371" w:name="_Toc80006102"/>
      <w:bookmarkStart w:id="372" w:name="_Toc25742"/>
      <w:bookmarkStart w:id="373" w:name="_Toc27753"/>
      <w:bookmarkStart w:id="374" w:name="_Toc14280"/>
      <w:r>
        <w:rPr>
          <w:rFonts w:hint="eastAsia" w:ascii="宋体" w:hAnsi="宋体" w:eastAsia="宋体" w:cs="宋体"/>
          <w:b/>
          <w:bCs/>
          <w:color w:val="auto"/>
          <w:sz w:val="28"/>
          <w:szCs w:val="28"/>
          <w:highlight w:val="none"/>
        </w:rPr>
        <w:t>3.评标结果</w:t>
      </w:r>
      <w:bookmarkEnd w:id="368"/>
      <w:bookmarkEnd w:id="369"/>
      <w:bookmarkEnd w:id="370"/>
      <w:bookmarkEnd w:id="371"/>
      <w:bookmarkEnd w:id="372"/>
      <w:bookmarkEnd w:id="373"/>
      <w:bookmarkEnd w:id="374"/>
    </w:p>
    <w:p w14:paraId="667D890A">
      <w:pPr>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评标委员会按照评标总得分由高到低的顺序推荐中标候选人。投标人评标总得分相同时，按照其投标报价由低至高排序。投标报价也相同时，按照业绩及信用评审得分由高到低确定排序。以上都相同时，由评标委员会投票确定排序。</w:t>
      </w:r>
    </w:p>
    <w:p w14:paraId="7B3999D2">
      <w:pPr>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bCs/>
          <w:color w:val="auto"/>
          <w:sz w:val="30"/>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highlight w:val="none"/>
        </w:rPr>
        <w:t>3.2 评标委员会完成评标后，向招标人提交书面评标报告。</w:t>
      </w:r>
    </w:p>
    <w:p w14:paraId="30048F04">
      <w:pPr>
        <w:widowControl/>
        <w:jc w:val="left"/>
        <w:rPr>
          <w:rFonts w:hint="eastAsia" w:ascii="宋体" w:hAnsi="宋体" w:eastAsia="宋体" w:cs="宋体"/>
          <w:bCs/>
          <w:color w:val="auto"/>
          <w:sz w:val="24"/>
          <w:highlight w:val="none"/>
        </w:rPr>
      </w:pPr>
      <w:r>
        <w:rPr>
          <w:rFonts w:hint="eastAsia" w:ascii="宋体" w:hAnsi="宋体" w:eastAsia="宋体" w:cs="宋体"/>
          <w:bCs/>
          <w:color w:val="auto"/>
          <w:sz w:val="30"/>
          <w:highlight w:val="none"/>
        </w:rPr>
        <w:br w:type="page"/>
      </w:r>
      <w:bookmarkEnd w:id="0"/>
      <w:bookmarkStart w:id="375" w:name="_Toc2809"/>
      <w:bookmarkStart w:id="376" w:name="_Toc300678090"/>
      <w:r>
        <w:rPr>
          <w:rFonts w:hint="eastAsia" w:ascii="宋体" w:hAnsi="宋体" w:eastAsia="宋体" w:cs="宋体"/>
          <w:bCs/>
          <w:color w:val="auto"/>
          <w:sz w:val="24"/>
          <w:highlight w:val="none"/>
        </w:rPr>
        <w:t>附件3-1：评标详细程序</w:t>
      </w:r>
      <w:bookmarkEnd w:id="375"/>
    </w:p>
    <w:p w14:paraId="27E529BD">
      <w:pPr>
        <w:spacing w:after="157" w:afterLines="50" w:line="420" w:lineRule="exact"/>
        <w:jc w:val="center"/>
        <w:rPr>
          <w:rFonts w:hint="eastAsia" w:ascii="宋体" w:hAnsi="宋体" w:eastAsia="宋体" w:cs="宋体"/>
          <w:color w:val="auto"/>
          <w:sz w:val="28"/>
          <w:szCs w:val="28"/>
          <w:highlight w:val="none"/>
        </w:rPr>
      </w:pPr>
      <w:bookmarkStart w:id="377" w:name="_Toc10834"/>
      <w:r>
        <w:rPr>
          <w:rFonts w:hint="eastAsia" w:ascii="宋体" w:hAnsi="宋体" w:eastAsia="宋体" w:cs="宋体"/>
          <w:color w:val="auto"/>
          <w:sz w:val="28"/>
          <w:szCs w:val="28"/>
          <w:highlight w:val="none"/>
        </w:rPr>
        <w:t>评标详细程序</w:t>
      </w:r>
      <w:bookmarkEnd w:id="377"/>
    </w:p>
    <w:p w14:paraId="496D2D7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本附件是评标办法的组成部分，是对本评标办法规定的评审程序的进一步细化，评标委员会应当按照本附件规定开展评标工作。</w:t>
      </w:r>
    </w:p>
    <w:p w14:paraId="542778CD">
      <w:pPr>
        <w:spacing w:line="360" w:lineRule="auto"/>
        <w:ind w:firstLine="240" w:firstLineChars="100"/>
        <w:outlineLvl w:val="1"/>
        <w:rPr>
          <w:rFonts w:hint="eastAsia" w:ascii="宋体" w:hAnsi="宋体" w:eastAsia="宋体" w:cs="宋体"/>
          <w:color w:val="auto"/>
          <w:sz w:val="24"/>
          <w:highlight w:val="none"/>
        </w:rPr>
      </w:pPr>
      <w:bookmarkStart w:id="378" w:name="_Toc19156"/>
      <w:bookmarkStart w:id="379" w:name="_Toc27871"/>
      <w:bookmarkStart w:id="380" w:name="_Toc29208"/>
      <w:bookmarkStart w:id="381" w:name="_Toc9773"/>
      <w:bookmarkStart w:id="382" w:name="_Toc9310"/>
      <w:bookmarkStart w:id="383" w:name="_Toc16827"/>
      <w:r>
        <w:rPr>
          <w:rFonts w:hint="eastAsia" w:ascii="宋体" w:hAnsi="宋体" w:eastAsia="宋体" w:cs="宋体"/>
          <w:color w:val="auto"/>
          <w:sz w:val="24"/>
          <w:highlight w:val="none"/>
        </w:rPr>
        <w:t>1.基本程序</w:t>
      </w:r>
      <w:bookmarkEnd w:id="378"/>
      <w:bookmarkEnd w:id="379"/>
      <w:bookmarkEnd w:id="380"/>
      <w:bookmarkEnd w:id="381"/>
      <w:bookmarkEnd w:id="382"/>
      <w:bookmarkEnd w:id="383"/>
    </w:p>
    <w:p w14:paraId="1490E4C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评标活动将按以下</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个步骤进行：</w:t>
      </w:r>
    </w:p>
    <w:p w14:paraId="0AFD363E">
      <w:pPr>
        <w:numPr>
          <w:ilvl w:val="0"/>
          <w:numId w:val="3"/>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评标准备；</w:t>
      </w:r>
    </w:p>
    <w:p w14:paraId="031F37EE">
      <w:pPr>
        <w:numPr>
          <w:ilvl w:val="0"/>
          <w:numId w:val="3"/>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施工组织设计评审；</w:t>
      </w:r>
    </w:p>
    <w:p w14:paraId="137DD2BA">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w:t>
      </w:r>
      <w:r>
        <w:rPr>
          <w:rFonts w:hint="eastAsia" w:ascii="宋体" w:hAnsi="宋体" w:eastAsia="宋体" w:cs="宋体"/>
          <w:color w:val="auto"/>
          <w:kern w:val="0"/>
          <w:szCs w:val="32"/>
          <w:highlight w:val="none"/>
          <w:lang w:val="en-US" w:eastAsia="zh-CN"/>
        </w:rPr>
        <w:t>形式、资格、响应性评审</w:t>
      </w:r>
      <w:r>
        <w:rPr>
          <w:rFonts w:hint="eastAsia" w:ascii="宋体" w:hAnsi="宋体" w:eastAsia="宋体" w:cs="宋体"/>
          <w:color w:val="auto"/>
          <w:kern w:val="0"/>
          <w:szCs w:val="32"/>
          <w:highlight w:val="none"/>
          <w:lang w:eastAsia="zh-CN"/>
        </w:rPr>
        <w:t>；</w:t>
      </w:r>
    </w:p>
    <w:p w14:paraId="760DB9EF">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4）业绩及信用评审；</w:t>
      </w:r>
    </w:p>
    <w:p w14:paraId="1421B926">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（5）投标报价</w:t>
      </w:r>
      <w:r>
        <w:rPr>
          <w:rFonts w:hint="eastAsia" w:ascii="宋体" w:hAnsi="宋体" w:eastAsia="宋体" w:cs="宋体"/>
          <w:color w:val="auto"/>
          <w:highlight w:val="none"/>
        </w:rPr>
        <w:t>评审</w:t>
      </w:r>
      <w:r>
        <w:rPr>
          <w:rFonts w:hint="eastAsia" w:ascii="宋体" w:hAnsi="宋体" w:eastAsia="宋体" w:cs="宋体"/>
          <w:color w:val="auto"/>
          <w:highlight w:val="none"/>
          <w:lang w:val="en-US" w:eastAsia="zh-CN"/>
        </w:rPr>
        <w:t>；</w:t>
      </w:r>
    </w:p>
    <w:p w14:paraId="62BF8BB4">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）推荐中标候选人及提交评标报告。</w:t>
      </w:r>
    </w:p>
    <w:p w14:paraId="6EE6E1B2">
      <w:pPr>
        <w:spacing w:line="360" w:lineRule="auto"/>
        <w:ind w:firstLine="240" w:firstLineChars="100"/>
        <w:outlineLvl w:val="1"/>
        <w:rPr>
          <w:rFonts w:hint="eastAsia" w:ascii="宋体" w:hAnsi="宋体" w:eastAsia="宋体" w:cs="宋体"/>
          <w:color w:val="auto"/>
          <w:sz w:val="24"/>
          <w:highlight w:val="none"/>
        </w:rPr>
      </w:pPr>
      <w:bookmarkStart w:id="384" w:name="_Toc20076"/>
      <w:bookmarkStart w:id="385" w:name="_Toc10326"/>
      <w:bookmarkStart w:id="386" w:name="_Toc14872"/>
      <w:bookmarkStart w:id="387" w:name="_Toc12249"/>
      <w:bookmarkStart w:id="388" w:name="_Toc16344"/>
      <w:bookmarkStart w:id="389" w:name="_Toc7642"/>
      <w:r>
        <w:rPr>
          <w:rFonts w:hint="eastAsia" w:ascii="宋体" w:hAnsi="宋体" w:eastAsia="宋体" w:cs="宋体"/>
          <w:color w:val="auto"/>
          <w:sz w:val="24"/>
          <w:highlight w:val="none"/>
        </w:rPr>
        <w:t>2.评标准备</w:t>
      </w:r>
      <w:bookmarkEnd w:id="384"/>
      <w:bookmarkEnd w:id="385"/>
      <w:bookmarkEnd w:id="386"/>
      <w:bookmarkEnd w:id="387"/>
      <w:bookmarkEnd w:id="388"/>
      <w:bookmarkEnd w:id="389"/>
    </w:p>
    <w:p w14:paraId="6C8100B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评标委员会成员签到</w:t>
      </w:r>
    </w:p>
    <w:p w14:paraId="2D060490">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评标委员会成员到达评标现场时应在签到表上签到以证明其出席。</w:t>
      </w:r>
    </w:p>
    <w:p w14:paraId="2F1CF61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评标委员会的分工</w:t>
      </w:r>
    </w:p>
    <w:p w14:paraId="3DA35F7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首先推举一名评标委员会主任。评标委员会主任负责主持评标活动。评标委员会主任在与其他评标委员会成员协商的基础上，可以将评标委员会划分为技术组和商务组，但最终评审结果须全体评标委员会一致认可。</w:t>
      </w:r>
    </w:p>
    <w:p w14:paraId="4BA6EF3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 熟悉文件资料</w:t>
      </w:r>
    </w:p>
    <w:p w14:paraId="68F58D17">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2.3.1 评标委员会主任应组织评标委员会成员认真研究招标文件，了解和熟悉招标目的、招标范围、主要合同条件、技术标准和要求、质量标准和工期要求等，掌握评标标准和方法。未在招标文件中规定的标准和方法不得作为评标的依据。</w:t>
      </w:r>
    </w:p>
    <w:p w14:paraId="76EF345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2.3.2 招标人或招标代理机构应向评标委员会提供评标所需的信息和数据，包括招标文件、未在开标会上当场拒绝的各投标文件、开标会记录、资格预审申请文件（适用于已进行资格预审的）、最高投标限价或标底（如果有）、工程所在地工程造价管理部门颁布的工程造价信息、定额（如作为计价依据时）、有关的法律、法规、规章、国家标准以及招标人或评标委员会认为必要的其他信息和数据。</w:t>
      </w:r>
    </w:p>
    <w:p w14:paraId="664E679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 对投标文件进行基础性数据分析和整理工作（以下简称：清标）</w:t>
      </w:r>
    </w:p>
    <w:p w14:paraId="65522E9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2.4.1 在不改变投标人投标文件实质性内容的前提下，评标委员会应当进行清标，发现并提取其中可能存在的对招标范围理解的偏差、投标报价的算术性错误、错漏项、投标报价构成不合理、不平衡报价等明显异常的问题，并将这些问题整理形成清标成果。评标委员会对清标成果审议后，对于需要投标人进行澄清、说明或补正的问题，形成质疑问卷，向投标人发出问题澄清通知或者质疑问卷。</w:t>
      </w:r>
    </w:p>
    <w:p w14:paraId="005B425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2.4.2 投标人应当按照评标委员会的要求，</w:t>
      </w:r>
      <w:bookmarkStart w:id="390" w:name="_Hlk80002807"/>
      <w:r>
        <w:rPr>
          <w:rFonts w:hint="eastAsia" w:ascii="宋体" w:hAnsi="宋体" w:eastAsia="宋体" w:cs="宋体"/>
          <w:color w:val="auto"/>
          <w:highlight w:val="none"/>
        </w:rPr>
        <w:t>在规定的时间内提供加盖公章或法定代表人（或其委托代理人）签署的澄清、说明或者补正资料。</w:t>
      </w:r>
      <w:bookmarkEnd w:id="390"/>
    </w:p>
    <w:p w14:paraId="1A47D4A9">
      <w:pPr>
        <w:spacing w:line="360" w:lineRule="auto"/>
        <w:ind w:firstLine="0" w:firstLineChars="0"/>
        <w:outlineLvl w:val="1"/>
        <w:rPr>
          <w:rFonts w:hint="eastAsia" w:ascii="宋体" w:hAnsi="宋体" w:eastAsia="宋体" w:cs="宋体"/>
          <w:color w:val="auto"/>
          <w:sz w:val="24"/>
          <w:szCs w:val="24"/>
          <w:highlight w:val="none"/>
        </w:rPr>
      </w:pPr>
      <w:bookmarkStart w:id="391" w:name="_Toc14922"/>
      <w:bookmarkStart w:id="392" w:name="_Toc14807"/>
      <w:bookmarkStart w:id="393" w:name="_Toc21700"/>
      <w:bookmarkStart w:id="394" w:name="_Toc13446"/>
      <w:bookmarkStart w:id="395" w:name="_Toc3752"/>
      <w:bookmarkStart w:id="396" w:name="_Toc31363"/>
      <w:r>
        <w:rPr>
          <w:rFonts w:hint="eastAsia" w:ascii="宋体" w:hAnsi="宋体" w:eastAsia="宋体" w:cs="宋体"/>
          <w:color w:val="auto"/>
          <w:sz w:val="24"/>
          <w:highlight w:val="none"/>
        </w:rPr>
        <w:t>3.</w:t>
      </w:r>
      <w:r>
        <w:rPr>
          <w:rFonts w:hint="eastAsia" w:ascii="宋体" w:hAnsi="宋体" w:eastAsia="宋体" w:cs="宋体"/>
          <w:color w:val="auto"/>
          <w:sz w:val="24"/>
          <w:szCs w:val="24"/>
          <w:highlight w:val="none"/>
          <w:lang w:val="en-US" w:eastAsia="zh-CN"/>
        </w:rPr>
        <w:t>施工组织设计</w:t>
      </w:r>
      <w:r>
        <w:rPr>
          <w:rFonts w:hint="eastAsia" w:ascii="宋体" w:hAnsi="宋体" w:eastAsia="宋体" w:cs="宋体"/>
          <w:color w:val="auto"/>
          <w:sz w:val="24"/>
          <w:szCs w:val="24"/>
          <w:highlight w:val="none"/>
        </w:rPr>
        <w:t>评审</w:t>
      </w:r>
      <w:bookmarkEnd w:id="391"/>
      <w:bookmarkEnd w:id="392"/>
      <w:bookmarkEnd w:id="393"/>
      <w:bookmarkEnd w:id="394"/>
      <w:bookmarkEnd w:id="395"/>
      <w:bookmarkEnd w:id="396"/>
    </w:p>
    <w:p w14:paraId="06F42A12">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评标委员会对所有投标人提交的施工组织设计进行评审。</w:t>
      </w:r>
    </w:p>
    <w:p w14:paraId="037E4639">
      <w:pPr>
        <w:spacing w:line="360" w:lineRule="auto"/>
        <w:outlineLvl w:val="1"/>
        <w:rPr>
          <w:rFonts w:hint="eastAsia" w:ascii="宋体" w:hAnsi="宋体" w:eastAsia="宋体" w:cs="宋体"/>
          <w:color w:val="auto"/>
          <w:sz w:val="24"/>
          <w:highlight w:val="none"/>
        </w:rPr>
      </w:pPr>
      <w:bookmarkStart w:id="397" w:name="_Toc1798"/>
      <w:bookmarkStart w:id="398" w:name="_Toc28569"/>
      <w:bookmarkStart w:id="399" w:name="_Toc30600"/>
      <w:bookmarkStart w:id="400" w:name="_Toc9662"/>
      <w:bookmarkStart w:id="401" w:name="_Toc20432"/>
      <w:bookmarkStart w:id="402" w:name="_Toc32347"/>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形式、资格、响应性评审。</w:t>
      </w:r>
      <w:bookmarkEnd w:id="397"/>
      <w:bookmarkEnd w:id="398"/>
      <w:bookmarkEnd w:id="399"/>
      <w:bookmarkEnd w:id="400"/>
      <w:bookmarkEnd w:id="401"/>
      <w:bookmarkEnd w:id="402"/>
    </w:p>
    <w:p w14:paraId="64D6D7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评标委员会依据评标办法的规定对投标文件进行评审。有一项不符合评审标准的，应当予以否决。</w:t>
      </w:r>
    </w:p>
    <w:p w14:paraId="704E50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.1 形式评审</w:t>
      </w:r>
    </w:p>
    <w:p w14:paraId="24D4E00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评标委员会根据评标办法前附表中规定的评审因素和评审标准，对投标人的投标文件进行形式评审。</w:t>
      </w:r>
    </w:p>
    <w:p w14:paraId="14AF6E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资格评审</w:t>
      </w:r>
    </w:p>
    <w:p w14:paraId="551CE4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.2.1未进行资格预审的，由评标委员会根据评标办法前附表规定的评审因素和评审标准，对投标人的投标文件进行资格评审。</w:t>
      </w:r>
    </w:p>
    <w:p w14:paraId="5593FA8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2.1已进行资格预审的，评标委员会一般不再对投标人资格进行评审。投标人资格预审申请文件的内容发生重大变化的，由评标委员会依据资格预审文件规定的标准和方法，对照投标人资格预审申请文件中的资料以及开标前更新的资料，对其更新的资料进行评审，其变化后的资格条件不得低于原有资格条件要求。</w:t>
      </w:r>
    </w:p>
    <w:p w14:paraId="21B028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 xml:space="preserve">.2.2  资格评审过程中，评标委员会发现投标人提交的资格审查资料不全时，应当听取该投标人的说明。  </w:t>
      </w:r>
    </w:p>
    <w:p w14:paraId="476C86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4.3 响应性评审</w:t>
      </w:r>
    </w:p>
    <w:p w14:paraId="44A02E0D">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.3.1 评标委员会根据评标办法前附表中规定的评审因素和评审标准，对投标人的投标文件进行响应性评审。</w:t>
      </w:r>
    </w:p>
    <w:p w14:paraId="4E681BD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.3.2 招标文件设定了最高投标限价的，投标人投标价格不得超出（不含等于）“投标人须知”前附表载明的最高投标限价。</w:t>
      </w:r>
    </w:p>
    <w:p w14:paraId="1DD911C7">
      <w:pPr>
        <w:spacing w:line="360" w:lineRule="auto"/>
        <w:ind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.4 算术错误修正</w:t>
      </w:r>
    </w:p>
    <w:p w14:paraId="0379BBD3">
      <w:pPr>
        <w:spacing w:line="348"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评标委员会检查投标人投标报价是否有算术错误，</w:t>
      </w:r>
      <w:r>
        <w:rPr>
          <w:rFonts w:hint="eastAsia" w:ascii="宋体" w:hAnsi="宋体" w:eastAsia="宋体" w:cs="宋体"/>
          <w:color w:val="auto"/>
          <w:szCs w:val="21"/>
          <w:highlight w:val="none"/>
        </w:rPr>
        <w:t>算术性错误分析和修正</w:t>
      </w:r>
      <w:r>
        <w:rPr>
          <w:rFonts w:hint="eastAsia" w:ascii="宋体" w:hAnsi="宋体" w:eastAsia="宋体" w:cs="宋体"/>
          <w:color w:val="auto"/>
          <w:highlight w:val="none"/>
        </w:rPr>
        <w:t>按以下原则进行，修正的价格经投标人确认后具有约束力。投标人不接受修正价格的，应当否决其投标。</w:t>
      </w:r>
    </w:p>
    <w:p w14:paraId="606C86D6">
      <w:pPr>
        <w:spacing w:line="348"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（1）投标文件中的大写金额与小写金额不一致的，以大写金额为准；</w:t>
      </w:r>
    </w:p>
    <w:p w14:paraId="598F3DF0">
      <w:pPr>
        <w:spacing w:line="348"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（2）总价金额与依据单价计算出的结果不一致的，以单价金额为准修正总价，但单价金额小数点有明显错误的除外。</w:t>
      </w:r>
    </w:p>
    <w:p w14:paraId="4806156B">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标委员会根据算术错误修正结果计算评标价。评标委员会对算术错误的修正应向投标人作澄清。投标人对修正结果进行确认。投标人对修正结果有不同意见或未通过确认的，评标委员会应重新复核修正结果，再次按上述程序分别进行确认、复核。</w:t>
      </w:r>
    </w:p>
    <w:p w14:paraId="0BF514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4.5是否予以否决投标</w:t>
      </w:r>
    </w:p>
    <w:p w14:paraId="4F73C14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.6.1评标委员会在评标过程中，依据第二章附件2-2中规定的</w:t>
      </w:r>
      <w:r>
        <w:rPr>
          <w:rFonts w:hint="eastAsia" w:ascii="宋体" w:hAnsi="宋体" w:eastAsia="宋体" w:cs="宋体"/>
          <w:color w:val="auto"/>
          <w:szCs w:val="21"/>
          <w:highlight w:val="none"/>
        </w:rPr>
        <w:t>否决投标情形，</w:t>
      </w:r>
      <w:r>
        <w:rPr>
          <w:rFonts w:hint="eastAsia" w:ascii="宋体" w:hAnsi="宋体" w:eastAsia="宋体" w:cs="宋体"/>
          <w:color w:val="auto"/>
          <w:highlight w:val="none"/>
        </w:rPr>
        <w:t>判断是否对投标人的投标</w:t>
      </w:r>
      <w:r>
        <w:rPr>
          <w:rFonts w:hint="eastAsia" w:ascii="宋体" w:hAnsi="宋体" w:eastAsia="宋体" w:cs="宋体"/>
          <w:color w:val="auto"/>
          <w:szCs w:val="21"/>
          <w:highlight w:val="none"/>
        </w:rPr>
        <w:t>予以否决</w:t>
      </w:r>
      <w:r>
        <w:rPr>
          <w:rFonts w:hint="eastAsia" w:ascii="宋体" w:hAnsi="宋体" w:eastAsia="宋体" w:cs="宋体"/>
          <w:color w:val="auto"/>
          <w:highlight w:val="none"/>
        </w:rPr>
        <w:t>。</w:t>
      </w:r>
    </w:p>
    <w:p w14:paraId="5063496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4.5</w:t>
      </w:r>
      <w:r>
        <w:rPr>
          <w:rFonts w:hint="eastAsia" w:ascii="宋体" w:hAnsi="宋体" w:eastAsia="宋体" w:cs="宋体"/>
          <w:color w:val="auto"/>
          <w:highlight w:val="none"/>
        </w:rPr>
        <w:t>.2 第二章附件2-2集中列示的</w:t>
      </w:r>
      <w:r>
        <w:rPr>
          <w:rFonts w:hint="eastAsia" w:ascii="宋体" w:hAnsi="宋体" w:eastAsia="宋体" w:cs="宋体"/>
          <w:color w:val="auto"/>
          <w:szCs w:val="21"/>
          <w:highlight w:val="none"/>
        </w:rPr>
        <w:t>否决投标</w:t>
      </w:r>
      <w:r>
        <w:rPr>
          <w:rFonts w:hint="eastAsia" w:ascii="宋体" w:hAnsi="宋体" w:eastAsia="宋体" w:cs="宋体"/>
          <w:color w:val="auto"/>
          <w:highlight w:val="none"/>
        </w:rPr>
        <w:t>情形如果与第二章“投标人须知”和本章列示的</w:t>
      </w:r>
      <w:r>
        <w:rPr>
          <w:rFonts w:hint="eastAsia" w:ascii="宋体" w:hAnsi="宋体" w:eastAsia="宋体" w:cs="宋体"/>
          <w:color w:val="auto"/>
          <w:szCs w:val="21"/>
          <w:highlight w:val="none"/>
        </w:rPr>
        <w:t>否决投标</w:t>
      </w:r>
      <w:r>
        <w:rPr>
          <w:rFonts w:hint="eastAsia" w:ascii="宋体" w:hAnsi="宋体" w:eastAsia="宋体" w:cs="宋体"/>
          <w:color w:val="auto"/>
          <w:highlight w:val="none"/>
        </w:rPr>
        <w:t>条款相互抵触和矛盾时，以附件2-2集中列示的为准。</w:t>
      </w:r>
    </w:p>
    <w:p w14:paraId="22007181">
      <w:pPr>
        <w:spacing w:line="360" w:lineRule="auto"/>
        <w:outlineLvl w:val="1"/>
        <w:rPr>
          <w:rFonts w:hint="eastAsia" w:ascii="宋体" w:hAnsi="宋体" w:eastAsia="宋体" w:cs="宋体"/>
          <w:color w:val="auto"/>
          <w:highlight w:val="none"/>
        </w:rPr>
      </w:pPr>
      <w:bookmarkStart w:id="403" w:name="_Toc30040"/>
      <w:bookmarkStart w:id="404" w:name="_Toc2667"/>
      <w:bookmarkStart w:id="405" w:name="_Toc9039"/>
      <w:bookmarkStart w:id="406" w:name="_Toc1486"/>
      <w:bookmarkStart w:id="407" w:name="_Toc14568"/>
      <w:bookmarkStart w:id="408" w:name="_Toc19161"/>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业绩及信用</w:t>
      </w:r>
      <w:r>
        <w:rPr>
          <w:rFonts w:hint="eastAsia" w:ascii="宋体" w:hAnsi="宋体" w:eastAsia="宋体" w:cs="宋体"/>
          <w:color w:val="auto"/>
          <w:sz w:val="24"/>
          <w:highlight w:val="none"/>
        </w:rPr>
        <w:t>评审</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投标报价评审</w:t>
      </w:r>
      <w:bookmarkEnd w:id="403"/>
      <w:bookmarkEnd w:id="404"/>
      <w:bookmarkEnd w:id="405"/>
      <w:bookmarkEnd w:id="406"/>
      <w:bookmarkEnd w:id="407"/>
      <w:bookmarkEnd w:id="408"/>
    </w:p>
    <w:p w14:paraId="76FF2B2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评标委员会按照规定的评审因素和标准进行评审计分。</w:t>
      </w:r>
    </w:p>
    <w:p w14:paraId="205980C6">
      <w:pPr>
        <w:adjustRightInd w:val="0"/>
        <w:snapToGrid w:val="0"/>
        <w:spacing w:before="63" w:beforeLines="20" w:after="63" w:after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.1 业绩及信用评审计分</w:t>
      </w:r>
    </w:p>
    <w:p w14:paraId="0D9BA66F">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投标报价评审按下列程序进行：</w:t>
      </w:r>
    </w:p>
    <w:p w14:paraId="490E7237">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5.2.1</w:t>
      </w:r>
      <w:r>
        <w:rPr>
          <w:rFonts w:hint="eastAsia" w:ascii="宋体" w:hAnsi="宋体" w:eastAsia="宋体" w:cs="宋体"/>
          <w:color w:val="auto"/>
          <w:szCs w:val="21"/>
          <w:highlight w:val="none"/>
        </w:rPr>
        <w:t>是否以低于成本报价竞争</w:t>
      </w:r>
    </w:p>
    <w:p w14:paraId="3E7E0AFE">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评标委员会应当对低于报价评审警戒线的投标人的报价进行评审，</w:t>
      </w:r>
      <w:r>
        <w:rPr>
          <w:rFonts w:hint="eastAsia" w:ascii="宋体" w:hAnsi="宋体" w:eastAsia="宋体" w:cs="宋体"/>
          <w:color w:val="auto"/>
          <w:highlight w:val="none"/>
        </w:rPr>
        <w:t>以判断投标报价是否低于成本。投标报价成本评审按照第二章附件2-3中的规定进行，对低于成本竞标的投标人</w:t>
      </w:r>
      <w:r>
        <w:rPr>
          <w:rFonts w:hint="eastAsia" w:ascii="宋体" w:hAnsi="宋体" w:eastAsia="宋体" w:cs="宋体"/>
          <w:color w:val="auto"/>
          <w:szCs w:val="21"/>
          <w:highlight w:val="none"/>
        </w:rPr>
        <w:t>予以否决</w:t>
      </w:r>
      <w:r>
        <w:rPr>
          <w:rFonts w:hint="eastAsia" w:ascii="宋体" w:hAnsi="宋体" w:eastAsia="宋体" w:cs="宋体"/>
          <w:color w:val="auto"/>
          <w:highlight w:val="none"/>
        </w:rPr>
        <w:t>。</w:t>
      </w:r>
    </w:p>
    <w:p w14:paraId="4B01CEB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5.2.2</w:t>
      </w:r>
      <w:r>
        <w:rPr>
          <w:rFonts w:hint="eastAsia" w:ascii="宋体" w:hAnsi="宋体" w:eastAsia="宋体" w:cs="宋体"/>
          <w:color w:val="auto"/>
          <w:highlight w:val="none"/>
        </w:rPr>
        <w:t>对</w:t>
      </w:r>
      <w:r>
        <w:rPr>
          <w:rFonts w:hint="eastAsia" w:ascii="宋体" w:hAnsi="宋体" w:eastAsia="宋体" w:cs="宋体"/>
          <w:color w:val="auto"/>
          <w:szCs w:val="21"/>
          <w:highlight w:val="none"/>
        </w:rPr>
        <w:t>投标总报价进行评审。</w:t>
      </w:r>
    </w:p>
    <w:p w14:paraId="7E38EF39">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&lt;1&gt;按照评标办法前附表的规定计算“基准价”。</w:t>
      </w:r>
    </w:p>
    <w:p w14:paraId="4F0D64DA">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&lt;2&gt;计算报价得分</w:t>
      </w:r>
    </w:p>
    <w:p w14:paraId="532E16DC">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按照评标办法前附表的规定计算通过了</w:t>
      </w:r>
      <w:r>
        <w:rPr>
          <w:rFonts w:hint="eastAsia" w:ascii="宋体" w:hAnsi="宋体" w:eastAsia="宋体" w:cs="宋体"/>
          <w:color w:val="auto"/>
          <w:szCs w:val="21"/>
          <w:highlight w:val="none"/>
          <w:lang w:val="en-US" w:eastAsia="zh-CN"/>
        </w:rPr>
        <w:t>形式、资格、响应性</w:t>
      </w:r>
      <w:r>
        <w:rPr>
          <w:rFonts w:hint="eastAsia" w:ascii="宋体" w:hAnsi="宋体" w:eastAsia="宋体" w:cs="宋体"/>
          <w:color w:val="auto"/>
          <w:szCs w:val="21"/>
          <w:highlight w:val="none"/>
        </w:rPr>
        <w:t>评审、施工组织设计评审，并且未被认定为低于成本竞争的投标人投标报价的“偏差率”。</w:t>
      </w:r>
    </w:p>
    <w:p w14:paraId="324083DC">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按照评标办法前附表中规定的评分标准，对照投标报价的偏差率，分别对投标报价进行计分。</w:t>
      </w:r>
    </w:p>
    <w:p w14:paraId="4145C05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5.3</w:t>
      </w:r>
      <w:r>
        <w:rPr>
          <w:rFonts w:hint="eastAsia" w:ascii="宋体" w:hAnsi="宋体" w:eastAsia="宋体" w:cs="宋体"/>
          <w:color w:val="auto"/>
          <w:szCs w:val="21"/>
          <w:highlight w:val="none"/>
        </w:rPr>
        <w:t>澄清、说明或补正</w:t>
      </w:r>
    </w:p>
    <w:p w14:paraId="5E2FFEA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审过程中，评标委员会应当就投标文件中不明确的内容要求投标人进行澄清、说明或者补正。投标人应当在规定的时间内提供加盖公章或法定代表人（或其委托代理人）签署的澄清、说明或者补正资料。澄清、说明或补正按照评标办法正文第2.3项执行。</w:t>
      </w:r>
    </w:p>
    <w:p w14:paraId="0E0AA39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5.4</w:t>
      </w:r>
      <w:r>
        <w:rPr>
          <w:rFonts w:hint="eastAsia" w:ascii="宋体" w:hAnsi="宋体" w:eastAsia="宋体" w:cs="宋体"/>
          <w:color w:val="auto"/>
          <w:szCs w:val="21"/>
          <w:highlight w:val="none"/>
        </w:rPr>
        <w:t>汇总评分结果</w:t>
      </w:r>
    </w:p>
    <w:p w14:paraId="30FB447C">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评审工作全部结束后，</w:t>
      </w:r>
      <w:r>
        <w:rPr>
          <w:rFonts w:hint="eastAsia" w:ascii="宋体" w:hAnsi="宋体" w:eastAsia="宋体" w:cs="宋体"/>
          <w:bCs/>
          <w:color w:val="auto"/>
          <w:szCs w:val="21"/>
          <w:highlight w:val="none"/>
        </w:rPr>
        <w:t>汇总评审计分结果，</w:t>
      </w:r>
      <w:r>
        <w:rPr>
          <w:rFonts w:hint="eastAsia" w:ascii="宋体" w:hAnsi="宋体" w:eastAsia="宋体" w:cs="宋体"/>
          <w:color w:val="auto"/>
          <w:szCs w:val="21"/>
          <w:highlight w:val="none"/>
        </w:rPr>
        <w:t>并按照评标总得分由高至低的次序对投标人进行排序。</w:t>
      </w:r>
    </w:p>
    <w:p w14:paraId="6F7E85FE">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 J1×G+J2×H</w:t>
      </w:r>
    </w:p>
    <w:p w14:paraId="450449D8">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其中：C——评标总得分</w:t>
      </w:r>
    </w:p>
    <w:p w14:paraId="271D8E5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G——业绩及信用</w:t>
      </w:r>
    </w:p>
    <w:p w14:paraId="5B99416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H——</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报价评审得分</w:t>
      </w:r>
    </w:p>
    <w:p w14:paraId="23567DA9">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J1、J2——各项评审因素的权重</w:t>
      </w:r>
    </w:p>
    <w:p w14:paraId="0817C3B1">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5.5</w:t>
      </w:r>
      <w:r>
        <w:rPr>
          <w:rFonts w:hint="eastAsia" w:ascii="宋体" w:hAnsi="宋体" w:eastAsia="宋体" w:cs="宋体"/>
          <w:color w:val="auto"/>
          <w:szCs w:val="21"/>
          <w:highlight w:val="none"/>
        </w:rPr>
        <w:t>评分分值计算保留小数点后两位，小数点后第三位“四舍五入”。</w:t>
      </w:r>
    </w:p>
    <w:p w14:paraId="1AA0A87A">
      <w:pPr>
        <w:adjustRightInd w:val="0"/>
        <w:snapToGrid w:val="0"/>
        <w:spacing w:before="63" w:beforeLines="20" w:line="360" w:lineRule="auto"/>
        <w:ind w:firstLine="240" w:firstLineChars="100"/>
        <w:outlineLvl w:val="1"/>
        <w:rPr>
          <w:rFonts w:hint="eastAsia" w:ascii="宋体" w:hAnsi="宋体" w:eastAsia="宋体" w:cs="宋体"/>
          <w:bCs/>
          <w:color w:val="auto"/>
          <w:sz w:val="24"/>
          <w:szCs w:val="21"/>
          <w:highlight w:val="none"/>
        </w:rPr>
      </w:pPr>
      <w:bookmarkStart w:id="409" w:name="_Toc11097"/>
      <w:bookmarkStart w:id="410" w:name="_Toc15737"/>
      <w:bookmarkStart w:id="411" w:name="_Toc10945"/>
      <w:bookmarkStart w:id="412" w:name="_Toc8899"/>
      <w:bookmarkStart w:id="413" w:name="_Toc29375"/>
      <w:bookmarkStart w:id="414" w:name="_Toc8580"/>
      <w:bookmarkStart w:id="415" w:name="_Toc300678071"/>
      <w:r>
        <w:rPr>
          <w:rFonts w:hint="eastAsia" w:ascii="宋体" w:hAnsi="宋体" w:eastAsia="宋体" w:cs="宋体"/>
          <w:bCs/>
          <w:color w:val="auto"/>
          <w:sz w:val="24"/>
          <w:szCs w:val="21"/>
          <w:highlight w:val="none"/>
          <w:lang w:val="en-US" w:eastAsia="zh-CN"/>
        </w:rPr>
        <w:t>6</w:t>
      </w:r>
      <w:r>
        <w:rPr>
          <w:rFonts w:hint="eastAsia" w:ascii="宋体" w:hAnsi="宋体" w:eastAsia="宋体" w:cs="宋体"/>
          <w:bCs/>
          <w:color w:val="auto"/>
          <w:sz w:val="24"/>
          <w:szCs w:val="21"/>
          <w:highlight w:val="none"/>
        </w:rPr>
        <w:t>.中标人的确定</w:t>
      </w:r>
      <w:bookmarkEnd w:id="409"/>
      <w:bookmarkEnd w:id="410"/>
      <w:bookmarkEnd w:id="411"/>
      <w:bookmarkEnd w:id="412"/>
      <w:bookmarkEnd w:id="413"/>
      <w:bookmarkEnd w:id="414"/>
    </w:p>
    <w:p w14:paraId="664E185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 推荐中标候选人</w:t>
      </w:r>
    </w:p>
    <w:p w14:paraId="1E1A8F66">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.1.1评标委员会在推荐中标候选人时，应遵照以下原则:</w:t>
      </w:r>
    </w:p>
    <w:p w14:paraId="587963E5">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评标委员会按照评标总得分由高至低的次序排列，并根据第二章“投标人须知”前规定的中标候选人数量，将排序在前的投标人推荐为中标候选人。</w:t>
      </w:r>
    </w:p>
    <w:p w14:paraId="0E0FC84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评标委员会根据规定</w:t>
      </w:r>
      <w:r>
        <w:rPr>
          <w:rFonts w:hint="eastAsia" w:ascii="宋体" w:hAnsi="宋体" w:eastAsia="宋体" w:cs="宋体"/>
          <w:color w:val="auto"/>
          <w:highlight w:val="none"/>
        </w:rPr>
        <w:t>予以否决投标</w:t>
      </w:r>
      <w:r>
        <w:rPr>
          <w:rFonts w:hint="eastAsia" w:ascii="宋体" w:hAnsi="宋体" w:eastAsia="宋体" w:cs="宋体"/>
          <w:color w:val="auto"/>
          <w:szCs w:val="21"/>
          <w:highlight w:val="none"/>
        </w:rPr>
        <w:t>后，如果因有效投标不足3个使得投标明显缺乏竞争的，评标委员会可以建议招标人重新招标。</w:t>
      </w:r>
    </w:p>
    <w:p w14:paraId="55261F66">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.1.2 投标人数量少于3个或者所有投标被否决的，招标人应当依法重新招标。</w:t>
      </w:r>
    </w:p>
    <w:p w14:paraId="3031C2B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.2 确定中标人</w:t>
      </w:r>
    </w:p>
    <w:p w14:paraId="24E41FA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招标人对评标委员会推荐的中标候选人进行公示。公示期满，按照相关规定确定中标人。</w:t>
      </w:r>
    </w:p>
    <w:p w14:paraId="689B19F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.3 编制评标报告</w:t>
      </w:r>
    </w:p>
    <w:p w14:paraId="15B9CE1A">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评标委员会根据评标办法的规定向招标人提交评标报告。评标报告应当由全体评标委员会成员签字。评标报告应当包括以下内容：</w:t>
      </w:r>
    </w:p>
    <w:p w14:paraId="0B09485D">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（1）基本情况和数据表；</w:t>
      </w:r>
    </w:p>
    <w:p w14:paraId="25399FA6">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（2）评标委员会成员名单；</w:t>
      </w:r>
    </w:p>
    <w:p w14:paraId="0A36EBCF">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（3）开标记录；</w:t>
      </w:r>
    </w:p>
    <w:p w14:paraId="0042E732">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（4）符合要求的投标一览表；</w:t>
      </w:r>
    </w:p>
    <w:p w14:paraId="70F901EE">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（5）否决投标情况说明；</w:t>
      </w:r>
    </w:p>
    <w:p w14:paraId="5796A5A6">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（6）评标标准、评标方法或者评标因素一览表；</w:t>
      </w:r>
    </w:p>
    <w:p w14:paraId="2262B500">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（7）经评审的价格一览表（包括评标委员会在评标过程中所形成的所有记载评标结果、结论的表格、说明、记录等文件）；</w:t>
      </w:r>
    </w:p>
    <w:p w14:paraId="5C72736A">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（8）经评审的投标人排序；</w:t>
      </w:r>
    </w:p>
    <w:p w14:paraId="1619F9D7">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（9）推荐的中标候选人名单与签订合同前要处理的事宜；</w:t>
      </w:r>
    </w:p>
    <w:p w14:paraId="1E6DAB10">
      <w:pPr>
        <w:adjustRightInd w:val="0"/>
        <w:snapToGrid w:val="0"/>
        <w:spacing w:before="94" w:beforeLines="30" w:line="30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（10）澄清、说明、补正事项纪要。</w:t>
      </w:r>
    </w:p>
    <w:p w14:paraId="39ADA076">
      <w:pPr>
        <w:adjustRightInd w:val="0"/>
        <w:snapToGrid w:val="0"/>
        <w:spacing w:before="63" w:beforeLines="20" w:after="63" w:afterLines="20" w:line="360" w:lineRule="auto"/>
        <w:outlineLvl w:val="1"/>
        <w:rPr>
          <w:rFonts w:hint="eastAsia" w:ascii="宋体" w:hAnsi="宋体" w:eastAsia="宋体" w:cs="宋体"/>
          <w:bCs/>
          <w:color w:val="auto"/>
          <w:sz w:val="24"/>
          <w:szCs w:val="21"/>
          <w:highlight w:val="none"/>
        </w:rPr>
      </w:pPr>
      <w:bookmarkStart w:id="416" w:name="_Toc14496"/>
      <w:bookmarkStart w:id="417" w:name="_Toc3980"/>
      <w:bookmarkStart w:id="418" w:name="_Toc19769"/>
      <w:bookmarkStart w:id="419" w:name="_Toc7971"/>
      <w:bookmarkStart w:id="420" w:name="_Toc31952"/>
      <w:bookmarkStart w:id="421" w:name="_Toc2166"/>
      <w:r>
        <w:rPr>
          <w:rFonts w:hint="eastAsia" w:ascii="宋体" w:hAnsi="宋体" w:eastAsia="宋体" w:cs="宋体"/>
          <w:bCs/>
          <w:color w:val="auto"/>
          <w:sz w:val="24"/>
          <w:szCs w:val="21"/>
          <w:highlight w:val="none"/>
          <w:lang w:val="en-US" w:eastAsia="zh-CN"/>
        </w:rPr>
        <w:t>7</w:t>
      </w:r>
      <w:r>
        <w:rPr>
          <w:rFonts w:hint="eastAsia" w:ascii="宋体" w:hAnsi="宋体" w:eastAsia="宋体" w:cs="宋体"/>
          <w:bCs/>
          <w:color w:val="auto"/>
          <w:sz w:val="24"/>
          <w:szCs w:val="21"/>
          <w:highlight w:val="none"/>
        </w:rPr>
        <w:t>．特殊情况的处置程序</w:t>
      </w:r>
      <w:bookmarkEnd w:id="416"/>
      <w:bookmarkEnd w:id="417"/>
      <w:bookmarkEnd w:id="418"/>
      <w:bookmarkEnd w:id="419"/>
      <w:bookmarkEnd w:id="420"/>
      <w:bookmarkEnd w:id="421"/>
    </w:p>
    <w:p w14:paraId="6615723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关于评标活动暂停</w:t>
      </w:r>
    </w:p>
    <w:p w14:paraId="528E2B55">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.1.1 评标委员会应当执行连续评标的原则，按评标办法中规定的程序、内容、方法、标准完成全部评标工作。除特殊情况外，评标活动不得暂停。</w:t>
      </w:r>
    </w:p>
    <w:p w14:paraId="0C8EE30A">
      <w:pPr>
        <w:adjustRightInd w:val="0"/>
        <w:snapToGrid w:val="0"/>
        <w:spacing w:before="63" w:beforeLines="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.1.2 发生评标暂停情况时，评标委员会应当封存全部投标文件和评标记录，待特殊情况的影响结束且具备继续评标的条件时，由原评标委员会继续评标。</w:t>
      </w:r>
    </w:p>
    <w:p w14:paraId="68C0BB0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关于评标中途更换评委</w:t>
      </w:r>
    </w:p>
    <w:p w14:paraId="2BC7CB52">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.2.1 除非发生下列情况之一，不得在评标中途更换评标委员会成员：</w:t>
      </w:r>
    </w:p>
    <w:p w14:paraId="78A59F37">
      <w:pPr>
        <w:adjustRightInd w:val="0"/>
        <w:snapToGrid w:val="0"/>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（1）因不可抗拒的原因，评标委员会成员不能到场或需在评标中途退出评标活动。</w:t>
      </w:r>
    </w:p>
    <w:p w14:paraId="6200AFBF">
      <w:pPr>
        <w:adjustRightInd w:val="0"/>
        <w:snapToGrid w:val="0"/>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（2）根据法律法规规定，某个或某几个评标委员会成员需要回避。</w:t>
      </w:r>
    </w:p>
    <w:p w14:paraId="5265C2D9">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.2.2 退出评标的评标委员会成员，其完成的评标行为无效。由招标人根据有关规定另行确定替代者进行评标。</w:t>
      </w:r>
    </w:p>
    <w:p w14:paraId="4933E04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.3 记名投票</w:t>
      </w:r>
    </w:p>
    <w:p w14:paraId="4B0D9126">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在任何评标环节中，需评标委员会就某项定性的评审结论做出表决的，由评标委员会全体成员按照少数服从多数的原则，以记名投票方式表决。</w:t>
      </w:r>
    </w:p>
    <w:p w14:paraId="7E4324D6">
      <w:pPr>
        <w:spacing w:line="360" w:lineRule="auto"/>
        <w:outlineLvl w:val="1"/>
        <w:rPr>
          <w:rFonts w:hint="eastAsia" w:ascii="宋体" w:hAnsi="宋体" w:eastAsia="宋体" w:cs="宋体"/>
          <w:color w:val="auto"/>
          <w:sz w:val="24"/>
          <w:highlight w:val="none"/>
        </w:rPr>
      </w:pPr>
      <w:bookmarkStart w:id="422" w:name="_Toc26096"/>
      <w:bookmarkStart w:id="423" w:name="_Toc8785"/>
      <w:bookmarkStart w:id="424" w:name="_Toc3969"/>
      <w:bookmarkStart w:id="425" w:name="_Toc19722"/>
      <w:bookmarkStart w:id="426" w:name="_Toc31372"/>
      <w:bookmarkStart w:id="427" w:name="_Toc27410"/>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.补充条款</w:t>
      </w:r>
      <w:bookmarkEnd w:id="422"/>
      <w:bookmarkEnd w:id="423"/>
      <w:bookmarkEnd w:id="424"/>
      <w:bookmarkEnd w:id="425"/>
      <w:bookmarkEnd w:id="426"/>
      <w:bookmarkEnd w:id="427"/>
    </w:p>
    <w:bookmarkEnd w:id="376"/>
    <w:bookmarkEnd w:id="415"/>
    <w:p w14:paraId="2E02960A">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.1评标过程中，评标委员会成员对法律法规及相关政策文件理解不一致或者不熟悉的问题，应当在现场提请行政监管部门解释。对招标文件中存在的其他问题应当提请招标人澄清。</w:t>
      </w:r>
    </w:p>
    <w:p w14:paraId="76AA6D0F">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对上述情形以外的问题，由评标委员会集体讨论决定。无法形成一致意见时，应当按照少数服从多数原则进行表决并予记录。</w:t>
      </w:r>
    </w:p>
    <w:p w14:paraId="0C863633">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.2评标专家签署评标报告前，评标委员会主任评委应当组织评标专家并邀请招标人、招标代理机构进行复核。</w:t>
      </w:r>
    </w:p>
    <w:p w14:paraId="3BFE98EE">
      <w:pPr>
        <w:adjustRightInd w:val="0"/>
        <w:snapToGrid w:val="0"/>
        <w:spacing w:line="360" w:lineRule="auto"/>
        <w:ind w:firstLine="420" w:firstLineChars="200"/>
        <w:rPr>
          <w:rFonts w:hint="eastAsia" w:ascii="宋体" w:hAnsi="宋体" w:eastAsia="宋体" w:cs="宋体"/>
          <w:color w:val="auto"/>
          <w:highlight w:val="none"/>
          <w:lang w:val="zh-CN"/>
        </w:rPr>
      </w:pPr>
      <w:r>
        <w:rPr>
          <w:rFonts w:hint="eastAsia" w:ascii="宋体" w:hAnsi="宋体" w:eastAsia="宋体" w:cs="宋体"/>
          <w:color w:val="auto"/>
          <w:szCs w:val="21"/>
          <w:highlight w:val="none"/>
        </w:rPr>
        <w:t>.......</w:t>
      </w:r>
      <w:r>
        <w:rPr>
          <w:rFonts w:hint="eastAsia" w:ascii="宋体" w:hAnsi="宋体" w:eastAsia="宋体" w:cs="宋体"/>
          <w:bCs/>
          <w:color w:val="auto"/>
          <w:highlight w:val="none"/>
        </w:rPr>
        <w:br w:type="page"/>
      </w:r>
    </w:p>
    <w:p w14:paraId="33F9233B">
      <w:pPr>
        <w:pStyle w:val="8"/>
        <w:spacing w:before="0" w:after="0"/>
        <w:jc w:val="center"/>
        <w:outlineLvl w:val="1"/>
        <w:rPr>
          <w:rFonts w:hint="eastAsia" w:ascii="宋体" w:hAnsi="宋体" w:eastAsia="宋体" w:cs="宋体"/>
          <w:b w:val="0"/>
          <w:color w:val="auto"/>
          <w:highlight w:val="none"/>
        </w:rPr>
      </w:pPr>
      <w:bookmarkStart w:id="428" w:name="_Toc3891"/>
      <w:bookmarkStart w:id="429" w:name="_Toc80006109"/>
      <w:bookmarkStart w:id="430" w:name="_Toc29832"/>
      <w:bookmarkStart w:id="431" w:name="_Toc3170"/>
      <w:bookmarkStart w:id="432" w:name="_Toc19371"/>
      <w:bookmarkStart w:id="433" w:name="_Toc80006219"/>
      <w:bookmarkStart w:id="434" w:name="_Toc8950"/>
      <w:bookmarkStart w:id="435" w:name="_Toc24116"/>
      <w:bookmarkStart w:id="436" w:name="_Toc30118"/>
      <w:r>
        <w:rPr>
          <w:rFonts w:hint="eastAsia" w:ascii="宋体" w:hAnsi="宋体" w:eastAsia="宋体" w:cs="宋体"/>
          <w:b w:val="0"/>
          <w:bCs w:val="0"/>
          <w:color w:val="auto"/>
          <w:highlight w:val="none"/>
        </w:rPr>
        <w:t>第四章  合同条款及格式</w:t>
      </w:r>
      <w:bookmarkEnd w:id="428"/>
      <w:bookmarkEnd w:id="429"/>
      <w:bookmarkEnd w:id="430"/>
      <w:bookmarkEnd w:id="431"/>
      <w:bookmarkEnd w:id="432"/>
      <w:bookmarkEnd w:id="433"/>
      <w:bookmarkEnd w:id="434"/>
      <w:bookmarkEnd w:id="435"/>
      <w:bookmarkEnd w:id="436"/>
      <w:bookmarkStart w:id="437" w:name="_Toc337558727"/>
      <w:r>
        <w:rPr>
          <w:rFonts w:hint="eastAsia" w:ascii="宋体" w:hAnsi="宋体" w:eastAsia="宋体" w:cs="宋体"/>
          <w:b w:val="0"/>
          <w:color w:val="auto"/>
          <w:highlight w:val="none"/>
        </w:rPr>
        <w:t xml:space="preserve"> </w:t>
      </w:r>
    </w:p>
    <w:p w14:paraId="7E215B8B">
      <w:pPr>
        <w:spacing w:line="48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说明：合同条款及格式应当作为招标文件的组成部分，合同条款及格式推荐采用《建设工程施工合同（示范文本）》（GF-2017-0201）。</w:t>
      </w:r>
    </w:p>
    <w:p w14:paraId="7AAA8B64">
      <w:pPr>
        <w:spacing w:line="480" w:lineRule="exact"/>
        <w:jc w:val="center"/>
        <w:rPr>
          <w:rFonts w:hint="eastAsia" w:ascii="宋体" w:hAnsi="宋体" w:eastAsia="宋体" w:cs="宋体"/>
          <w:color w:val="auto"/>
          <w:sz w:val="24"/>
          <w:highlight w:val="none"/>
        </w:rPr>
      </w:pPr>
    </w:p>
    <w:bookmarkEnd w:id="437"/>
    <w:p w14:paraId="6C444FEE">
      <w:pPr>
        <w:pStyle w:val="8"/>
        <w:spacing w:line="360" w:lineRule="auto"/>
        <w:jc w:val="center"/>
        <w:rPr>
          <w:rFonts w:hint="eastAsia" w:ascii="宋体" w:hAnsi="宋体" w:eastAsia="宋体" w:cs="宋体"/>
          <w:b w:val="0"/>
          <w:bCs w:val="0"/>
          <w:color w:val="auto"/>
          <w:sz w:val="30"/>
          <w:highlight w:val="none"/>
        </w:rPr>
      </w:pPr>
      <w:bookmarkStart w:id="438" w:name="_Toc6172"/>
      <w:bookmarkStart w:id="439" w:name="_Toc80006220"/>
      <w:bookmarkStart w:id="440" w:name="_Toc28785"/>
      <w:bookmarkStart w:id="441" w:name="_Toc80006110"/>
      <w:bookmarkStart w:id="442" w:name="_Toc296890982"/>
      <w:bookmarkStart w:id="443" w:name="_Toc29879"/>
      <w:bookmarkStart w:id="444" w:name="_Toc1618"/>
      <w:bookmarkStart w:id="445" w:name="_Toc296503025"/>
      <w:bookmarkStart w:id="446" w:name="_Toc351203480"/>
      <w:bookmarkStart w:id="447" w:name="_Toc10868"/>
      <w:bookmarkStart w:id="448" w:name="_Toc351203632"/>
      <w:r>
        <w:rPr>
          <w:rFonts w:hint="eastAsia" w:ascii="宋体" w:hAnsi="宋体" w:eastAsia="宋体" w:cs="宋体"/>
          <w:b w:val="0"/>
          <w:bCs w:val="0"/>
          <w:color w:val="auto"/>
          <w:sz w:val="30"/>
          <w:highlight w:val="none"/>
        </w:rPr>
        <w:t>第一节 合同协议书</w:t>
      </w:r>
      <w:bookmarkEnd w:id="438"/>
      <w:bookmarkEnd w:id="439"/>
      <w:bookmarkEnd w:id="440"/>
      <w:bookmarkEnd w:id="441"/>
      <w:bookmarkEnd w:id="442"/>
      <w:bookmarkEnd w:id="443"/>
      <w:bookmarkEnd w:id="444"/>
      <w:bookmarkEnd w:id="445"/>
      <w:bookmarkEnd w:id="446"/>
      <w:bookmarkEnd w:id="447"/>
    </w:p>
    <w:p w14:paraId="0CC8FF3A">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发包人（全称）：</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6B6BE588">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承包人（全称）：</w:t>
      </w:r>
      <w:r>
        <w:rPr>
          <w:rFonts w:hint="eastAsia" w:ascii="宋体" w:hAnsi="宋体" w:eastAsia="宋体" w:cs="宋体"/>
          <w:color w:val="auto"/>
          <w:szCs w:val="21"/>
          <w:highlight w:val="none"/>
          <w:u w:val="single"/>
        </w:rPr>
        <w:t>                      </w:t>
      </w:r>
    </w:p>
    <w:p w14:paraId="00E763D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根据《中华人民共和国民法典》、《中华人民共和国建筑法》及有关法律规定，遵循平等、自愿、公平和诚实信用的原则，双方就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pacing w:val="9"/>
          <w:sz w:val="21"/>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工程施工及有关事项协商一致，共同达成如下协议：</w:t>
      </w:r>
    </w:p>
    <w:p w14:paraId="763D9824">
      <w:pPr>
        <w:spacing w:line="480" w:lineRule="exact"/>
        <w:ind w:firstLine="420" w:firstLineChars="200"/>
        <w:rPr>
          <w:rFonts w:hint="eastAsia" w:ascii="宋体" w:hAnsi="宋体" w:eastAsia="宋体" w:cs="宋体"/>
          <w:color w:val="auto"/>
          <w:szCs w:val="21"/>
          <w:highlight w:val="none"/>
        </w:rPr>
      </w:pPr>
      <w:bookmarkStart w:id="449" w:name="_Toc351203481"/>
      <w:r>
        <w:rPr>
          <w:rFonts w:hint="eastAsia" w:ascii="宋体" w:hAnsi="宋体" w:eastAsia="宋体" w:cs="宋体"/>
          <w:color w:val="auto"/>
          <w:szCs w:val="21"/>
          <w:highlight w:val="none"/>
        </w:rPr>
        <w:t>一、工程概况</w:t>
      </w:r>
      <w:bookmarkEnd w:id="449"/>
    </w:p>
    <w:p w14:paraId="76133B03">
      <w:pPr>
        <w:spacing w:line="480" w:lineRule="exact"/>
        <w:ind w:firstLine="411" w:firstLineChars="196"/>
        <w:rPr>
          <w:rFonts w:hint="eastAsia" w:ascii="宋体" w:hAnsi="宋体" w:eastAsia="宋体" w:cs="宋体"/>
          <w:color w:val="auto"/>
          <w:szCs w:val="21"/>
          <w:highlight w:val="none"/>
          <w:u w:val="single"/>
        </w:rPr>
      </w:pPr>
      <w:r>
        <w:rPr>
          <w:rFonts w:hint="eastAsia" w:ascii="宋体" w:hAnsi="宋体" w:eastAsia="宋体" w:cs="宋体"/>
          <w:bCs/>
          <w:color w:val="auto"/>
          <w:szCs w:val="21"/>
          <w:highlight w:val="none"/>
        </w:rPr>
        <w:t>1.工程名称</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983B73D">
      <w:pPr>
        <w:spacing w:line="480" w:lineRule="exact"/>
        <w:ind w:firstLine="411" w:firstLineChars="196"/>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2.工程地点：</w:t>
      </w:r>
      <w:r>
        <w:rPr>
          <w:rFonts w:hint="eastAsia" w:ascii="宋体" w:hAnsi="宋体" w:eastAsia="宋体" w:cs="宋体"/>
          <w:bCs/>
          <w:color w:val="auto"/>
          <w:szCs w:val="21"/>
          <w:highlight w:val="none"/>
          <w:lang w:val="en-US" w:eastAsia="zh-CN"/>
        </w:rPr>
        <w:t xml:space="preserve">                          </w:t>
      </w:r>
    </w:p>
    <w:p w14:paraId="0162DB39">
      <w:pPr>
        <w:spacing w:line="480" w:lineRule="exact"/>
        <w:ind w:firstLine="411" w:firstLineChars="196"/>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3.工程立项批准文号：</w:t>
      </w:r>
      <w:r>
        <w:rPr>
          <w:rFonts w:hint="eastAsia" w:ascii="宋体" w:hAnsi="宋体" w:eastAsia="宋体" w:cs="宋体"/>
          <w:bCs/>
          <w:color w:val="auto"/>
          <w:szCs w:val="21"/>
          <w:highlight w:val="none"/>
          <w:lang w:val="en-US" w:eastAsia="zh-CN"/>
        </w:rPr>
        <w:t xml:space="preserve">                   </w:t>
      </w:r>
    </w:p>
    <w:p w14:paraId="43A506E6">
      <w:pPr>
        <w:spacing w:line="480" w:lineRule="exact"/>
        <w:ind w:firstLine="411" w:firstLineChars="196"/>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4.资金来源：</w:t>
      </w:r>
      <w:r>
        <w:rPr>
          <w:rFonts w:hint="eastAsia" w:ascii="宋体" w:hAnsi="宋体" w:eastAsia="宋体" w:cs="宋体"/>
          <w:bCs/>
          <w:color w:val="auto"/>
          <w:szCs w:val="21"/>
          <w:highlight w:val="none"/>
          <w:lang w:val="en-US" w:eastAsia="zh-CN"/>
        </w:rPr>
        <w:t xml:space="preserve">                            </w:t>
      </w:r>
    </w:p>
    <w:p w14:paraId="509B9B9B">
      <w:pPr>
        <w:spacing w:line="480" w:lineRule="exact"/>
        <w:ind w:firstLine="411" w:firstLineChars="196"/>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rPr>
        <w:t>5.工程内容</w:t>
      </w:r>
      <w:r>
        <w:rPr>
          <w:rFonts w:hint="eastAsia" w:ascii="宋体" w:hAnsi="宋体" w:eastAsia="宋体" w:cs="宋体"/>
          <w:bCs/>
          <w:color w:val="auto"/>
          <w:szCs w:val="21"/>
          <w:highlight w:val="none"/>
          <w:lang w:val="en-US" w:eastAsia="zh-CN"/>
        </w:rPr>
        <w:t xml:space="preserve">                             </w:t>
      </w:r>
    </w:p>
    <w:p w14:paraId="708BDA18">
      <w:pPr>
        <w:spacing w:line="480" w:lineRule="exact"/>
        <w:ind w:firstLine="411" w:firstLineChars="196"/>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群体工程应附《承包人承揽工程项目一览表》（附件1）。</w:t>
      </w:r>
    </w:p>
    <w:p w14:paraId="3BAA9F11">
      <w:pPr>
        <w:keepNext w:val="0"/>
        <w:keepLines w:val="0"/>
        <w:widowControl/>
        <w:suppressLineNumbers w:val="0"/>
        <w:spacing w:line="360" w:lineRule="auto"/>
        <w:ind w:firstLine="420" w:firstLineChars="200"/>
        <w:jc w:val="left"/>
        <w:rPr>
          <w:rFonts w:hint="default" w:ascii="宋体" w:hAnsi="宋体" w:eastAsia="宋体" w:cs="宋体"/>
          <w:color w:val="auto"/>
          <w:szCs w:val="21"/>
          <w:highlight w:val="none"/>
          <w:u w:val="single"/>
          <w:lang w:val="en-US" w:eastAsia="zh-CN"/>
        </w:rPr>
      </w:pPr>
      <w:r>
        <w:rPr>
          <w:rFonts w:hint="eastAsia" w:ascii="宋体" w:hAnsi="宋体" w:eastAsia="宋体" w:cs="宋体"/>
          <w:bCs/>
          <w:color w:val="auto"/>
          <w:szCs w:val="21"/>
          <w:highlight w:val="none"/>
        </w:rPr>
        <w:t>6.工程承包范围：</w:t>
      </w:r>
      <w:r>
        <w:rPr>
          <w:rFonts w:hint="eastAsia" w:ascii="宋体" w:hAnsi="宋体" w:eastAsia="宋体" w:cs="宋体"/>
          <w:bCs/>
          <w:color w:val="auto"/>
          <w:szCs w:val="21"/>
          <w:highlight w:val="none"/>
          <w:lang w:val="en-US" w:eastAsia="zh-CN"/>
        </w:rPr>
        <w:t xml:space="preserve">                          </w:t>
      </w:r>
    </w:p>
    <w:p w14:paraId="6DD2BDE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0" w:name="_Toc351203482"/>
      <w:r>
        <w:rPr>
          <w:rFonts w:hint="eastAsia" w:ascii="宋体" w:hAnsi="宋体" w:eastAsia="宋体" w:cs="宋体"/>
          <w:color w:val="auto"/>
          <w:szCs w:val="21"/>
          <w:highlight w:val="none"/>
        </w:rPr>
        <w:t>二、合同工期</w:t>
      </w:r>
      <w:bookmarkEnd w:id="450"/>
    </w:p>
    <w:p w14:paraId="42B8A05E">
      <w:pPr>
        <w:spacing w:line="480" w:lineRule="exact"/>
        <w:ind w:firstLine="45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计划开工日期：</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日。</w:t>
      </w:r>
    </w:p>
    <w:p w14:paraId="0FFC5D41">
      <w:pPr>
        <w:spacing w:line="480" w:lineRule="exact"/>
        <w:ind w:firstLine="45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计划竣工日期：</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日。</w:t>
      </w:r>
    </w:p>
    <w:p w14:paraId="3500FBEC">
      <w:pPr>
        <w:spacing w:line="480" w:lineRule="exact"/>
        <w:ind w:firstLine="45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工期总日历天数：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天。工期总日历天数与根据前述计划开竣工日期计算的工期天数不一致的，以工期总日历天数为准。</w:t>
      </w:r>
    </w:p>
    <w:p w14:paraId="7FD9677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1" w:name="_Toc351203483"/>
      <w:r>
        <w:rPr>
          <w:rFonts w:hint="eastAsia" w:ascii="宋体" w:hAnsi="宋体" w:eastAsia="宋体" w:cs="宋体"/>
          <w:color w:val="auto"/>
          <w:szCs w:val="21"/>
          <w:highlight w:val="none"/>
        </w:rPr>
        <w:t>三、质量标准</w:t>
      </w:r>
      <w:bookmarkEnd w:id="451"/>
    </w:p>
    <w:p w14:paraId="0DCCE568">
      <w:pPr>
        <w:spacing w:line="480" w:lineRule="exact"/>
        <w:ind w:firstLine="45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工程质量符合</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标准。</w:t>
      </w:r>
    </w:p>
    <w:p w14:paraId="378466C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2" w:name="_Toc351203484"/>
      <w:r>
        <w:rPr>
          <w:rFonts w:hint="eastAsia" w:ascii="宋体" w:hAnsi="宋体" w:eastAsia="宋体" w:cs="宋体"/>
          <w:color w:val="auto"/>
          <w:szCs w:val="21"/>
          <w:highlight w:val="none"/>
        </w:rPr>
        <w:t>四、签约合同价与合同价格形式</w:t>
      </w:r>
      <w:bookmarkEnd w:id="452"/>
      <w:r>
        <w:rPr>
          <w:rFonts w:hint="eastAsia" w:ascii="宋体" w:hAnsi="宋体" w:eastAsia="宋体" w:cs="宋体"/>
          <w:color w:val="auto"/>
          <w:szCs w:val="21"/>
          <w:highlight w:val="none"/>
        </w:rPr>
        <w:tab/>
      </w:r>
    </w:p>
    <w:p w14:paraId="1B0585B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1.签约合同价为：</w:t>
      </w:r>
    </w:p>
    <w:p w14:paraId="11370615">
      <w:pPr>
        <w:spacing w:line="480" w:lineRule="exact"/>
        <w:ind w:firstLine="52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1F3DE69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p w14:paraId="121C7C5C">
      <w:pPr>
        <w:spacing w:line="480" w:lineRule="exact"/>
        <w:ind w:firstLine="420" w:firstLineChars="200"/>
        <w:rPr>
          <w:rFonts w:hint="eastAsia" w:ascii="宋体" w:hAnsi="宋体" w:eastAsia="宋体" w:cs="宋体"/>
          <w:color w:val="auto"/>
          <w:kern w:val="0"/>
          <w:highlight w:val="none"/>
        </w:rPr>
      </w:pPr>
      <w:r>
        <w:rPr>
          <w:rFonts w:hint="eastAsia" w:ascii="宋体" w:hAnsi="宋体" w:eastAsia="宋体" w:cs="宋体"/>
          <w:color w:val="auto"/>
          <w:szCs w:val="21"/>
          <w:highlight w:val="none"/>
        </w:rPr>
        <w:t>（1）</w:t>
      </w:r>
      <w:r>
        <w:rPr>
          <w:rFonts w:hint="eastAsia" w:ascii="宋体" w:hAnsi="宋体" w:eastAsia="宋体" w:cs="宋体"/>
          <w:color w:val="auto"/>
          <w:kern w:val="0"/>
          <w:highlight w:val="none"/>
        </w:rPr>
        <w:t>绿色施工安全防护措施项目费：人民币（大写）</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u w:val="single"/>
        </w:rPr>
        <w:t xml:space="preserve">          </w:t>
      </w:r>
      <w:r>
        <w:rPr>
          <w:rFonts w:hint="eastAsia" w:ascii="宋体" w:hAnsi="宋体" w:eastAsia="宋体" w:cs="宋体"/>
          <w:color w:val="auto"/>
          <w:kern w:val="0"/>
          <w:highlight w:val="none"/>
        </w:rPr>
        <w:t>元)；</w:t>
      </w:r>
    </w:p>
    <w:p w14:paraId="7CDF246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（2）材料和工程设备暂估价金额：</w:t>
      </w:r>
    </w:p>
    <w:p w14:paraId="36CAD378">
      <w:pPr>
        <w:spacing w:line="480" w:lineRule="exact"/>
        <w:ind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0BAC6209">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（3）专业工程暂估价金额：</w:t>
      </w:r>
    </w:p>
    <w:p w14:paraId="50B4A8D7">
      <w:pPr>
        <w:spacing w:line="480" w:lineRule="exact"/>
        <w:ind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39679628">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（4）暂列金额：</w:t>
      </w:r>
    </w:p>
    <w:p w14:paraId="7114B785">
      <w:pPr>
        <w:spacing w:line="480" w:lineRule="exact"/>
        <w:ind w:firstLine="945" w:firstLineChars="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0ADEBA2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2.合同价格形式：</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7844EF7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3" w:name="_Toc351203485"/>
      <w:r>
        <w:rPr>
          <w:rFonts w:hint="eastAsia" w:ascii="宋体" w:hAnsi="宋体" w:eastAsia="宋体" w:cs="宋体"/>
          <w:color w:val="auto"/>
          <w:szCs w:val="21"/>
          <w:highlight w:val="none"/>
        </w:rPr>
        <w:t>五、</w:t>
      </w:r>
      <w:bookmarkEnd w:id="453"/>
      <w:r>
        <w:rPr>
          <w:rFonts w:hint="eastAsia" w:ascii="宋体" w:hAnsi="宋体" w:eastAsia="宋体" w:cs="宋体"/>
          <w:color w:val="auto"/>
          <w:szCs w:val="21"/>
          <w:highlight w:val="none"/>
        </w:rPr>
        <w:t>项目经理</w:t>
      </w:r>
    </w:p>
    <w:p w14:paraId="3D14DC85">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承包人项目经理：</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41F4662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4" w:name="_Toc351203486"/>
      <w:r>
        <w:rPr>
          <w:rFonts w:hint="eastAsia" w:ascii="宋体" w:hAnsi="宋体" w:eastAsia="宋体" w:cs="宋体"/>
          <w:color w:val="auto"/>
          <w:szCs w:val="21"/>
          <w:highlight w:val="none"/>
        </w:rPr>
        <w:t>六、合同文件构成</w:t>
      </w:r>
      <w:bookmarkEnd w:id="454"/>
    </w:p>
    <w:p w14:paraId="21352598">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本协议书与下列文件一起构成合同文件：</w:t>
      </w:r>
    </w:p>
    <w:p w14:paraId="08905FE3">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（1）中标通知书（如果有）；</w:t>
      </w:r>
    </w:p>
    <w:p w14:paraId="7C3003D1">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（2）投标函及其附录（如果有）； </w:t>
      </w:r>
    </w:p>
    <w:p w14:paraId="3E16113A">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（3）专用合同条款及其附件；</w:t>
      </w:r>
    </w:p>
    <w:p w14:paraId="69D09522">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（4）通用合同条款；</w:t>
      </w:r>
    </w:p>
    <w:p w14:paraId="46DBA2EA">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（5）技术标准和要求；</w:t>
      </w:r>
    </w:p>
    <w:p w14:paraId="1748AC47">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（6）图纸；</w:t>
      </w:r>
    </w:p>
    <w:p w14:paraId="6575A8BE">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（7）已标价工程量清单或预算书；</w:t>
      </w:r>
    </w:p>
    <w:p w14:paraId="6F3A194D">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（8）其他合同文件。</w:t>
      </w:r>
    </w:p>
    <w:p w14:paraId="10E61EA7">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在合同订立及履行过程中形成的与合同有关的文件均构成合同文件组成部分。</w:t>
      </w:r>
    </w:p>
    <w:p w14:paraId="7D84275F">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462884B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5" w:name="_Toc351203487"/>
      <w:r>
        <w:rPr>
          <w:rFonts w:hint="eastAsia" w:ascii="宋体" w:hAnsi="宋体" w:eastAsia="宋体" w:cs="宋体"/>
          <w:color w:val="auto"/>
          <w:szCs w:val="21"/>
          <w:highlight w:val="none"/>
        </w:rPr>
        <w:t>七、承诺</w:t>
      </w:r>
      <w:bookmarkEnd w:id="455"/>
    </w:p>
    <w:p w14:paraId="3185B186">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1.发包人承诺按照法律规定履行项目审批手续、筹集工程建设资金并按照合同约定的期限和方式支付合同价款。</w:t>
      </w:r>
    </w:p>
    <w:p w14:paraId="32453C0A">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7209E8E1">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3.发包人和承包人通过招投标形式签订合同的，双方理解并承诺不再就同一工程另行签订与合同实质性内容相背离的协议。</w:t>
      </w:r>
    </w:p>
    <w:p w14:paraId="20C4F467">
      <w:pPr>
        <w:spacing w:line="480" w:lineRule="exact"/>
        <w:rPr>
          <w:rFonts w:hint="eastAsia" w:ascii="宋体" w:hAnsi="宋体" w:eastAsia="宋体" w:cs="宋体"/>
          <w:color w:val="auto"/>
          <w:szCs w:val="21"/>
          <w:highlight w:val="none"/>
        </w:rPr>
      </w:pPr>
      <w:bookmarkStart w:id="456" w:name="_Toc351203488"/>
      <w:r>
        <w:rPr>
          <w:rFonts w:hint="eastAsia" w:ascii="宋体" w:hAnsi="宋体" w:eastAsia="宋体" w:cs="宋体"/>
          <w:color w:val="auto"/>
          <w:szCs w:val="21"/>
          <w:highlight w:val="none"/>
        </w:rPr>
        <w:t xml:space="preserve">    八、词语含义</w:t>
      </w:r>
      <w:bookmarkEnd w:id="456"/>
    </w:p>
    <w:p w14:paraId="3DEB047B">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本协议书中词语含义与第二部分通用合同条款中赋予的含义相同。</w:t>
      </w:r>
    </w:p>
    <w:p w14:paraId="1B2494D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7" w:name="_Toc351203489"/>
      <w:r>
        <w:rPr>
          <w:rFonts w:hint="eastAsia" w:ascii="宋体" w:hAnsi="宋体" w:eastAsia="宋体" w:cs="宋体"/>
          <w:color w:val="auto"/>
          <w:szCs w:val="21"/>
          <w:highlight w:val="none"/>
        </w:rPr>
        <w:t>九、签订时间</w:t>
      </w:r>
      <w:bookmarkEnd w:id="457"/>
    </w:p>
    <w:p w14:paraId="55073B97">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本合同于</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日签订。</w:t>
      </w:r>
    </w:p>
    <w:p w14:paraId="03F4E98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8" w:name="_Toc351203490"/>
      <w:r>
        <w:rPr>
          <w:rFonts w:hint="eastAsia" w:ascii="宋体" w:hAnsi="宋体" w:eastAsia="宋体" w:cs="宋体"/>
          <w:color w:val="auto"/>
          <w:szCs w:val="21"/>
          <w:highlight w:val="none"/>
        </w:rPr>
        <w:t>十、签订地点</w:t>
      </w:r>
      <w:bookmarkEnd w:id="458"/>
    </w:p>
    <w:p w14:paraId="5BBBD810">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本合同在</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签订。</w:t>
      </w:r>
    </w:p>
    <w:p w14:paraId="4D8EABF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59" w:name="_Toc351203491"/>
      <w:r>
        <w:rPr>
          <w:rFonts w:hint="eastAsia" w:ascii="宋体" w:hAnsi="宋体" w:eastAsia="宋体" w:cs="宋体"/>
          <w:color w:val="auto"/>
          <w:szCs w:val="21"/>
          <w:highlight w:val="none"/>
        </w:rPr>
        <w:t>十一、补充协议</w:t>
      </w:r>
      <w:bookmarkEnd w:id="459"/>
    </w:p>
    <w:p w14:paraId="68C9D8D5">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合同未尽事宜，合同当事人另行签订补充协议，补充协议是合同的组成部分。</w:t>
      </w:r>
    </w:p>
    <w:p w14:paraId="0143130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60" w:name="_Toc351203492"/>
      <w:r>
        <w:rPr>
          <w:rFonts w:hint="eastAsia" w:ascii="宋体" w:hAnsi="宋体" w:eastAsia="宋体" w:cs="宋体"/>
          <w:color w:val="auto"/>
          <w:szCs w:val="21"/>
          <w:highlight w:val="none"/>
        </w:rPr>
        <w:t>十二、合同生效</w:t>
      </w:r>
      <w:bookmarkEnd w:id="460"/>
    </w:p>
    <w:p w14:paraId="1EDBAF49">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本合同自</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生效。</w:t>
      </w:r>
    </w:p>
    <w:p w14:paraId="50FCA40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bookmarkStart w:id="461" w:name="_Toc351203493"/>
      <w:r>
        <w:rPr>
          <w:rFonts w:hint="eastAsia" w:ascii="宋体" w:hAnsi="宋体" w:eastAsia="宋体" w:cs="宋体"/>
          <w:color w:val="auto"/>
          <w:szCs w:val="21"/>
          <w:highlight w:val="none"/>
        </w:rPr>
        <w:t>十三、合同份数</w:t>
      </w:r>
      <w:bookmarkEnd w:id="461"/>
    </w:p>
    <w:p w14:paraId="1609836F">
      <w:pPr>
        <w:spacing w:line="480" w:lineRule="exact"/>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本合同一式</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份，均具有同等法律效力，发包人执</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份，承包人执</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份。</w:t>
      </w:r>
    </w:p>
    <w:p w14:paraId="7DD48933">
      <w:pPr>
        <w:spacing w:line="480" w:lineRule="exact"/>
        <w:rPr>
          <w:rFonts w:hint="eastAsia" w:ascii="宋体" w:hAnsi="宋体" w:eastAsia="宋体" w:cs="宋体"/>
          <w:bCs/>
          <w:color w:val="auto"/>
          <w:szCs w:val="21"/>
          <w:highlight w:val="none"/>
        </w:rPr>
      </w:pPr>
    </w:p>
    <w:p w14:paraId="505DB7E3">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发包人：  (公章)                        承包人：  (公章) </w:t>
      </w:r>
    </w:p>
    <w:p w14:paraId="1B26994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              法定代表人或其委托代理人：</w:t>
      </w:r>
    </w:p>
    <w:p w14:paraId="508ABF11">
      <w:pPr>
        <w:spacing w:line="480" w:lineRule="exact"/>
        <w:ind w:firstLine="1890" w:firstLineChars="9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（签字）                                （签字）</w:t>
      </w:r>
    </w:p>
    <w:p w14:paraId="09C79921">
      <w:pPr>
        <w:tabs>
          <w:tab w:val="left" w:pos="4410"/>
        </w:tabs>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组织机构代码：</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组织机构代码：</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w:t>
      </w:r>
    </w:p>
    <w:p w14:paraId="0BDB745B">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地  址：</w:t>
      </w:r>
      <w:r>
        <w:rPr>
          <w:rFonts w:hint="eastAsia" w:ascii="宋体" w:hAnsi="宋体" w:eastAsia="宋体" w:cs="宋体"/>
          <w:color w:val="auto"/>
          <w:szCs w:val="21"/>
          <w:highlight w:val="none"/>
          <w:u w:val="single"/>
        </w:rPr>
        <w:t xml:space="preserve">          </w:t>
      </w:r>
    </w:p>
    <w:p w14:paraId="70C3E68C">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szCs w:val="21"/>
          <w:highlight w:val="none"/>
        </w:rPr>
        <w:t xml:space="preserve">            邮政编码：</w:t>
      </w:r>
      <w:r>
        <w:rPr>
          <w:rFonts w:hint="eastAsia" w:ascii="宋体" w:hAnsi="宋体" w:eastAsia="宋体" w:cs="宋体"/>
          <w:color w:val="auto"/>
          <w:szCs w:val="21"/>
          <w:highlight w:val="none"/>
          <w:u w:val="single"/>
        </w:rPr>
        <w:t xml:space="preserve">   </w:t>
      </w:r>
    </w:p>
    <w:p w14:paraId="2E745638">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法定代表人：</w:t>
      </w:r>
      <w:r>
        <w:rPr>
          <w:rFonts w:hint="eastAsia" w:ascii="宋体" w:hAnsi="宋体" w:eastAsia="宋体" w:cs="宋体"/>
          <w:color w:val="auto"/>
          <w:szCs w:val="21"/>
          <w:highlight w:val="none"/>
          <w:u w:val="single"/>
        </w:rPr>
        <w:t xml:space="preserve">                  </w:t>
      </w:r>
    </w:p>
    <w:p w14:paraId="1F2DA9BE">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委托代理人：</w:t>
      </w:r>
      <w:r>
        <w:rPr>
          <w:rFonts w:hint="eastAsia" w:ascii="宋体" w:hAnsi="宋体" w:eastAsia="宋体" w:cs="宋体"/>
          <w:color w:val="auto"/>
          <w:szCs w:val="21"/>
          <w:highlight w:val="none"/>
          <w:u w:val="single"/>
        </w:rPr>
        <w:t xml:space="preserve">               </w:t>
      </w:r>
    </w:p>
    <w:p w14:paraId="175C00A5">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  话：</w:t>
      </w:r>
      <w:r>
        <w:rPr>
          <w:rFonts w:hint="eastAsia" w:ascii="宋体" w:hAnsi="宋体" w:eastAsia="宋体" w:cs="宋体"/>
          <w:color w:val="auto"/>
          <w:szCs w:val="21"/>
          <w:highlight w:val="none"/>
          <w:u w:val="single"/>
        </w:rPr>
        <w:t xml:space="preserve">       </w:t>
      </w:r>
    </w:p>
    <w:p w14:paraId="1FFA12D2">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传  真：</w:t>
      </w:r>
      <w:r>
        <w:rPr>
          <w:rFonts w:hint="eastAsia" w:ascii="宋体" w:hAnsi="宋体" w:eastAsia="宋体" w:cs="宋体"/>
          <w:color w:val="auto"/>
          <w:szCs w:val="21"/>
          <w:highlight w:val="none"/>
          <w:u w:val="single"/>
        </w:rPr>
        <w:t xml:space="preserve">     </w:t>
      </w:r>
    </w:p>
    <w:p w14:paraId="3774E95E">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电子信箱：</w:t>
      </w:r>
      <w:r>
        <w:rPr>
          <w:rFonts w:hint="eastAsia" w:ascii="宋体" w:hAnsi="宋体" w:eastAsia="宋体" w:cs="宋体"/>
          <w:color w:val="auto"/>
          <w:szCs w:val="21"/>
          <w:highlight w:val="none"/>
          <w:u w:val="single"/>
        </w:rPr>
        <w:t xml:space="preserve">   </w:t>
      </w:r>
    </w:p>
    <w:p w14:paraId="29A64641">
      <w:pPr>
        <w:spacing w:line="24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开户银行：</w:t>
      </w:r>
      <w:r>
        <w:rPr>
          <w:rFonts w:hint="eastAsia" w:ascii="宋体" w:hAnsi="宋体" w:eastAsia="宋体" w:cs="宋体"/>
          <w:color w:val="auto"/>
          <w:szCs w:val="21"/>
          <w:highlight w:val="none"/>
          <w:u w:val="single"/>
        </w:rPr>
        <w:t xml:space="preserve">   </w:t>
      </w:r>
    </w:p>
    <w:p w14:paraId="0F7E18F6">
      <w:pPr>
        <w:spacing w:line="240" w:lineRule="auto"/>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账  号：</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 xml:space="preserve">             账  号：</w:t>
      </w:r>
      <w:r>
        <w:rPr>
          <w:rFonts w:hint="eastAsia" w:ascii="宋体" w:hAnsi="宋体" w:eastAsia="宋体" w:cs="宋体"/>
          <w:color w:val="auto"/>
          <w:szCs w:val="21"/>
          <w:highlight w:val="none"/>
          <w:u w:val="single"/>
        </w:rPr>
        <w:t xml:space="preserve">        </w:t>
      </w:r>
    </w:p>
    <w:p w14:paraId="6BFDD7C8">
      <w:pPr>
        <w:pStyle w:val="8"/>
        <w:spacing w:line="360" w:lineRule="auto"/>
        <w:jc w:val="center"/>
        <w:rPr>
          <w:rFonts w:hint="eastAsia" w:ascii="宋体" w:hAnsi="宋体" w:eastAsia="宋体" w:cs="宋体"/>
          <w:b w:val="0"/>
          <w:bCs w:val="0"/>
          <w:color w:val="auto"/>
          <w:sz w:val="30"/>
          <w:highlight w:val="none"/>
        </w:rPr>
      </w:pPr>
      <w:r>
        <w:rPr>
          <w:rFonts w:hint="eastAsia" w:ascii="宋体" w:hAnsi="宋体" w:eastAsia="宋体" w:cs="宋体"/>
          <w:b w:val="0"/>
          <w:color w:val="auto"/>
          <w:sz w:val="21"/>
          <w:szCs w:val="21"/>
          <w:highlight w:val="none"/>
        </w:rPr>
        <w:br w:type="page"/>
      </w:r>
      <w:bookmarkStart w:id="462" w:name="_Toc353"/>
      <w:bookmarkStart w:id="463" w:name="_Toc80006111"/>
      <w:bookmarkStart w:id="464" w:name="_Toc351203494"/>
      <w:bookmarkStart w:id="465" w:name="_Toc8086"/>
      <w:bookmarkStart w:id="466" w:name="_Toc29239"/>
      <w:bookmarkStart w:id="467" w:name="_Toc5686"/>
      <w:bookmarkStart w:id="468" w:name="_Toc9580"/>
      <w:bookmarkStart w:id="469" w:name="_Toc80006221"/>
      <w:r>
        <w:rPr>
          <w:rFonts w:hint="eastAsia" w:ascii="宋体" w:hAnsi="宋体" w:eastAsia="宋体" w:cs="宋体"/>
          <w:b w:val="0"/>
          <w:bCs w:val="0"/>
          <w:color w:val="auto"/>
          <w:sz w:val="30"/>
          <w:highlight w:val="none"/>
        </w:rPr>
        <w:t>第二节 通用合同条款</w:t>
      </w:r>
      <w:bookmarkEnd w:id="462"/>
      <w:bookmarkEnd w:id="463"/>
      <w:bookmarkEnd w:id="464"/>
      <w:bookmarkEnd w:id="465"/>
      <w:bookmarkEnd w:id="466"/>
      <w:bookmarkEnd w:id="467"/>
      <w:bookmarkEnd w:id="468"/>
      <w:bookmarkEnd w:id="469"/>
    </w:p>
    <w:p w14:paraId="4A55D35E">
      <w:pPr>
        <w:spacing w:line="48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说明：“通用合同条款”采用《建设工程施工合同（示范文本）》（GF-2017-0201）的“通用合同条款”。</w:t>
      </w:r>
    </w:p>
    <w:p w14:paraId="76A7BAE5">
      <w:pPr>
        <w:spacing w:line="480" w:lineRule="exact"/>
        <w:jc w:val="center"/>
        <w:rPr>
          <w:rFonts w:hint="eastAsia" w:ascii="宋体" w:hAnsi="宋体" w:eastAsia="宋体" w:cs="宋体"/>
          <w:color w:val="auto"/>
          <w:sz w:val="32"/>
          <w:szCs w:val="32"/>
          <w:highlight w:val="none"/>
        </w:rPr>
      </w:pPr>
    </w:p>
    <w:p w14:paraId="7F53EB8D">
      <w:pPr>
        <w:spacing w:line="480" w:lineRule="exact"/>
        <w:jc w:val="center"/>
        <w:rPr>
          <w:rFonts w:hint="eastAsia" w:ascii="宋体" w:hAnsi="宋体" w:eastAsia="宋体" w:cs="宋体"/>
          <w:color w:val="auto"/>
          <w:sz w:val="32"/>
          <w:szCs w:val="32"/>
          <w:highlight w:val="none"/>
        </w:rPr>
      </w:pPr>
    </w:p>
    <w:p w14:paraId="452CBD8D">
      <w:pPr>
        <w:pStyle w:val="8"/>
        <w:spacing w:line="360" w:lineRule="auto"/>
        <w:jc w:val="center"/>
        <w:rPr>
          <w:rFonts w:hint="eastAsia" w:ascii="宋体" w:hAnsi="宋体" w:eastAsia="宋体" w:cs="宋体"/>
          <w:b w:val="0"/>
          <w:bCs w:val="0"/>
          <w:color w:val="auto"/>
          <w:sz w:val="30"/>
          <w:highlight w:val="none"/>
        </w:rPr>
      </w:pPr>
      <w:bookmarkStart w:id="470" w:name="_Toc80006222"/>
      <w:bookmarkStart w:id="471" w:name="_Toc80006112"/>
      <w:bookmarkStart w:id="472" w:name="_Toc26427"/>
      <w:bookmarkStart w:id="473" w:name="_Toc18709"/>
      <w:bookmarkStart w:id="474" w:name="_Toc6140"/>
      <w:bookmarkStart w:id="475" w:name="_Toc30723"/>
      <w:bookmarkStart w:id="476" w:name="_Toc28591"/>
      <w:r>
        <w:rPr>
          <w:rFonts w:hint="eastAsia" w:ascii="宋体" w:hAnsi="宋体" w:eastAsia="宋体" w:cs="宋体"/>
          <w:b w:val="0"/>
          <w:bCs w:val="0"/>
          <w:color w:val="auto"/>
          <w:sz w:val="30"/>
          <w:highlight w:val="none"/>
        </w:rPr>
        <w:t>第三节 专用合同条款</w:t>
      </w:r>
      <w:bookmarkEnd w:id="470"/>
      <w:bookmarkEnd w:id="471"/>
      <w:bookmarkEnd w:id="472"/>
      <w:bookmarkEnd w:id="473"/>
      <w:bookmarkEnd w:id="474"/>
      <w:bookmarkEnd w:id="475"/>
      <w:bookmarkEnd w:id="476"/>
    </w:p>
    <w:p w14:paraId="0DFC5B0D">
      <w:pPr>
        <w:spacing w:line="480" w:lineRule="exact"/>
        <w:rPr>
          <w:rFonts w:hint="eastAsia" w:ascii="宋体" w:hAnsi="宋体" w:eastAsia="宋体" w:cs="宋体"/>
          <w:color w:val="auto"/>
          <w:szCs w:val="21"/>
          <w:highlight w:val="none"/>
        </w:rPr>
      </w:pPr>
      <w:bookmarkStart w:id="477" w:name="_Toc351203633"/>
      <w:r>
        <w:rPr>
          <w:rFonts w:hint="eastAsia" w:ascii="宋体" w:hAnsi="宋体" w:eastAsia="宋体" w:cs="宋体"/>
          <w:color w:val="auto"/>
          <w:szCs w:val="21"/>
          <w:highlight w:val="none"/>
        </w:rPr>
        <w:t>1</w:t>
      </w:r>
      <w:bookmarkStart w:id="478" w:name="_Toc297048342"/>
      <w:bookmarkStart w:id="479" w:name="_Toc296503156"/>
      <w:bookmarkStart w:id="480" w:name="_Toc296891196"/>
      <w:bookmarkStart w:id="481" w:name="_Toc292559866"/>
      <w:bookmarkStart w:id="482" w:name="_Toc296944495"/>
      <w:bookmarkStart w:id="483" w:name="_Toc296890984"/>
      <w:bookmarkStart w:id="484" w:name="_Toc292559361"/>
      <w:bookmarkStart w:id="485" w:name="_Toc297120456"/>
      <w:bookmarkStart w:id="486" w:name="_Toc296346657"/>
      <w:bookmarkStart w:id="487" w:name="_Toc296347155"/>
      <w:r>
        <w:rPr>
          <w:rFonts w:hint="eastAsia" w:ascii="宋体" w:hAnsi="宋体" w:eastAsia="宋体" w:cs="宋体"/>
          <w:color w:val="auto"/>
          <w:szCs w:val="21"/>
          <w:highlight w:val="none"/>
        </w:rPr>
        <w:t>. 一般约定</w:t>
      </w:r>
      <w:bookmarkEnd w:id="477"/>
    </w:p>
    <w:bookmarkEnd w:id="478"/>
    <w:bookmarkEnd w:id="479"/>
    <w:bookmarkEnd w:id="480"/>
    <w:bookmarkEnd w:id="481"/>
    <w:bookmarkEnd w:id="482"/>
    <w:bookmarkEnd w:id="483"/>
    <w:bookmarkEnd w:id="484"/>
    <w:bookmarkEnd w:id="485"/>
    <w:bookmarkEnd w:id="486"/>
    <w:bookmarkEnd w:id="487"/>
    <w:p w14:paraId="132B52B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词语定义</w:t>
      </w:r>
    </w:p>
    <w:p w14:paraId="04594A8B">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1.1.1合同</w:t>
      </w:r>
    </w:p>
    <w:p w14:paraId="1EC82A12">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1.1.1.10其他合同文件包括：</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0639DF5D">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合同当事人及其他相关方</w:t>
      </w:r>
    </w:p>
    <w:p w14:paraId="057275C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1.1.2.4监理人：</w:t>
      </w:r>
    </w:p>
    <w:p w14:paraId="65632606">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szCs w:val="21"/>
          <w:highlight w:val="none"/>
        </w:rPr>
        <w:t>；</w:t>
      </w:r>
    </w:p>
    <w:p w14:paraId="6FA4C6E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资质类别和等级：</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67121B54">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6B27C9DF">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6BDEA6B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110B5C63">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1.1.2.5 设计人：</w:t>
      </w:r>
    </w:p>
    <w:p w14:paraId="5486B09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szCs w:val="21"/>
          <w:highlight w:val="none"/>
        </w:rPr>
        <w:t>；</w:t>
      </w:r>
    </w:p>
    <w:p w14:paraId="75B3C735">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资质类别和等级：</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62A60159">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777DA970">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szCs w:val="21"/>
          <w:highlight w:val="none"/>
        </w:rPr>
        <w:t>；</w:t>
      </w:r>
    </w:p>
    <w:p w14:paraId="06E6D4A9">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22F3A77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工程和设备</w:t>
      </w:r>
    </w:p>
    <w:p w14:paraId="1932E390">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1.1.3.7 作为施工现场组成部分的其他场所包括：</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42C10361">
      <w:pPr>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1.1.3.9 永久占地包括：</w:t>
      </w:r>
      <w:r>
        <w:rPr>
          <w:rFonts w:hint="eastAsia" w:ascii="宋体" w:hAnsi="宋体" w:eastAsia="宋体" w:cs="宋体"/>
          <w:color w:val="auto"/>
          <w:szCs w:val="21"/>
          <w:highlight w:val="none"/>
          <w:u w:val="single"/>
        </w:rPr>
        <w:t xml:space="preserve">                        </w:t>
      </w:r>
      <w:r>
        <w:rPr>
          <w:rFonts w:hint="eastAsia" w:ascii="宋体" w:hAnsi="宋体" w:eastAsia="宋体" w:cs="宋体"/>
          <w:color w:val="auto"/>
          <w:kern w:val="0"/>
          <w:szCs w:val="21"/>
          <w:highlight w:val="none"/>
        </w:rPr>
        <w:t>。</w:t>
      </w:r>
    </w:p>
    <w:p w14:paraId="150DEC52">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1.1.3.10 临时占地包括：</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kern w:val="0"/>
          <w:szCs w:val="21"/>
          <w:highlight w:val="none"/>
        </w:rPr>
        <w:t>。</w:t>
      </w:r>
    </w:p>
    <w:p w14:paraId="72055439">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1.3法律 </w:t>
      </w:r>
    </w:p>
    <w:p w14:paraId="003DC5E2">
      <w:pPr>
        <w:autoSpaceDE w:val="0"/>
        <w:autoSpaceDN w:val="0"/>
        <w:adjustRightInd w:val="0"/>
        <w:spacing w:line="480" w:lineRule="exact"/>
        <w:ind w:left="596" w:leftChars="284"/>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适用于合同的其他规范性文件：</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413667F">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 标准和规范</w:t>
      </w:r>
    </w:p>
    <w:p w14:paraId="58A47011">
      <w:pPr>
        <w:spacing w:line="480" w:lineRule="exact"/>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1.4.1适用于工程的标准规范包括：</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416D41D0">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 发包人提供国外标准、规范的名称：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6D514BE9">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发包人提供国外标准、规范的份数：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5E6C6D7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发包人提供国外标准、规范的名称：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1B24DFE">
      <w:pPr>
        <w:spacing w:line="480" w:lineRule="exact"/>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1.4.3发包人对工程的技术标准和功能要求的特殊要求：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F9B8FF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 合同文件的优先顺序</w:t>
      </w:r>
    </w:p>
    <w:p w14:paraId="573744F6">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合同文件组成及优先顺序为：</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70BF21C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 图纸和承包人文件</w:t>
      </w:r>
    </w:p>
    <w:p w14:paraId="09318BB4">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图纸的提供</w:t>
      </w:r>
    </w:p>
    <w:p w14:paraId="647B7E05">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发包人向承包人提供图纸的期限：</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7F1FB1B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发包人向承包人提供图纸的数量：</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1B5B682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发包人向承包人提供图纸的内容：</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77143F5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1.6.4 承包人文件</w:t>
      </w:r>
    </w:p>
    <w:p w14:paraId="20C772EF">
      <w:pPr>
        <w:spacing w:line="480" w:lineRule="exact"/>
        <w:ind w:left="596" w:leftChars="284"/>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需要由承包人提供的文件，包括：</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16F4685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承包人提供的文件的期限为：</w:t>
      </w:r>
      <w:r>
        <w:rPr>
          <w:rFonts w:hint="eastAsia" w:ascii="宋体" w:hAnsi="宋体" w:eastAsia="宋体" w:cs="宋体"/>
          <w:color w:val="auto"/>
          <w:szCs w:val="21"/>
          <w:highlight w:val="none"/>
          <w:u w:val="single"/>
        </w:rPr>
        <w:t>       </w:t>
      </w:r>
      <w:r>
        <w:rPr>
          <w:rFonts w:hint="eastAsia" w:ascii="宋体" w:hAnsi="宋体" w:eastAsia="宋体" w:cs="宋体"/>
          <w:color w:val="auto"/>
          <w:szCs w:val="21"/>
          <w:highlight w:val="none"/>
        </w:rPr>
        <w:t>；</w:t>
      </w:r>
    </w:p>
    <w:p w14:paraId="6C28102F">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承包人提供的文件的数量为：</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1B2D995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承包人提供的文件的形式为：</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6F29DF15">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发包人审批承包人文件的期限：</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634ACE7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1.6.5 现场图纸准备</w:t>
      </w:r>
    </w:p>
    <w:p w14:paraId="7C43478D">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关于现场图纸准备的约定：</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51AD7AF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 联络</w:t>
      </w:r>
    </w:p>
    <w:p w14:paraId="7D9B8390">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1.7.1发包人和承包人应当在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天内将与合同有关的通知、批准、证明、证书、指示、指令、要求、请求、同意、意见、确定和决定等书面函件送达对方当事人。</w:t>
      </w:r>
    </w:p>
    <w:p w14:paraId="5ACA7D71">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1.7.2 发包人接收文件的地点：</w:t>
      </w:r>
      <w:r>
        <w:rPr>
          <w:rFonts w:hint="eastAsia" w:ascii="宋体" w:hAnsi="宋体" w:eastAsia="宋体" w:cs="宋体"/>
          <w:color w:val="auto"/>
          <w:szCs w:val="21"/>
          <w:highlight w:val="none"/>
          <w:u w:val="single"/>
        </w:rPr>
        <w:t>      </w:t>
      </w:r>
      <w:r>
        <w:rPr>
          <w:rFonts w:hint="eastAsia" w:ascii="宋体" w:hAnsi="宋体" w:eastAsia="宋体" w:cs="宋体"/>
          <w:color w:val="auto"/>
          <w:kern w:val="0"/>
          <w:szCs w:val="21"/>
          <w:highlight w:val="none"/>
        </w:rPr>
        <w:t>；</w:t>
      </w:r>
    </w:p>
    <w:p w14:paraId="41434D59">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发包人指定的接收人为：</w:t>
      </w:r>
      <w:r>
        <w:rPr>
          <w:rFonts w:hint="eastAsia" w:ascii="宋体" w:hAnsi="宋体" w:eastAsia="宋体" w:cs="宋体"/>
          <w:color w:val="auto"/>
          <w:szCs w:val="21"/>
          <w:highlight w:val="none"/>
          <w:u w:val="single"/>
        </w:rPr>
        <w:t>               </w:t>
      </w:r>
      <w:r>
        <w:rPr>
          <w:rFonts w:hint="eastAsia" w:ascii="宋体" w:hAnsi="宋体" w:eastAsia="宋体" w:cs="宋体"/>
          <w:color w:val="auto"/>
          <w:kern w:val="0"/>
          <w:szCs w:val="21"/>
          <w:highlight w:val="none"/>
        </w:rPr>
        <w:t>。</w:t>
      </w:r>
    </w:p>
    <w:p w14:paraId="77962FF9">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承包人接收文件的地点：</w:t>
      </w:r>
      <w:r>
        <w:rPr>
          <w:rFonts w:hint="eastAsia" w:ascii="宋体" w:hAnsi="宋体" w:eastAsia="宋体" w:cs="宋体"/>
          <w:color w:val="auto"/>
          <w:szCs w:val="21"/>
          <w:highlight w:val="none"/>
          <w:u w:val="single"/>
        </w:rPr>
        <w:t>             </w:t>
      </w:r>
      <w:r>
        <w:rPr>
          <w:rFonts w:hint="eastAsia" w:ascii="宋体" w:hAnsi="宋体" w:eastAsia="宋体" w:cs="宋体"/>
          <w:color w:val="auto"/>
          <w:kern w:val="0"/>
          <w:szCs w:val="21"/>
          <w:highlight w:val="none"/>
        </w:rPr>
        <w:t>；</w:t>
      </w:r>
    </w:p>
    <w:p w14:paraId="55679250">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承包人指定的接收人为：</w:t>
      </w:r>
      <w:r>
        <w:rPr>
          <w:rFonts w:hint="eastAsia" w:ascii="宋体" w:hAnsi="宋体" w:eastAsia="宋体" w:cs="宋体"/>
          <w:color w:val="auto"/>
          <w:szCs w:val="21"/>
          <w:highlight w:val="none"/>
          <w:u w:val="single"/>
        </w:rPr>
        <w:t>             </w:t>
      </w:r>
      <w:r>
        <w:rPr>
          <w:rFonts w:hint="eastAsia" w:ascii="宋体" w:hAnsi="宋体" w:eastAsia="宋体" w:cs="宋体"/>
          <w:color w:val="auto"/>
          <w:kern w:val="0"/>
          <w:szCs w:val="21"/>
          <w:highlight w:val="none"/>
        </w:rPr>
        <w:t>。</w:t>
      </w:r>
    </w:p>
    <w:p w14:paraId="5AB6BC1F">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监理人接收文件的地点：</w:t>
      </w:r>
      <w:r>
        <w:rPr>
          <w:rFonts w:hint="eastAsia" w:ascii="宋体" w:hAnsi="宋体" w:eastAsia="宋体" w:cs="宋体"/>
          <w:color w:val="auto"/>
          <w:szCs w:val="21"/>
          <w:highlight w:val="none"/>
          <w:u w:val="single"/>
        </w:rPr>
        <w:t>            </w:t>
      </w:r>
      <w:r>
        <w:rPr>
          <w:rFonts w:hint="eastAsia" w:ascii="宋体" w:hAnsi="宋体" w:eastAsia="宋体" w:cs="宋体"/>
          <w:color w:val="auto"/>
          <w:kern w:val="0"/>
          <w:szCs w:val="21"/>
          <w:highlight w:val="none"/>
        </w:rPr>
        <w:t>；</w:t>
      </w:r>
    </w:p>
    <w:p w14:paraId="1FC922D3">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监理人指定的接收人为：</w:t>
      </w:r>
      <w:r>
        <w:rPr>
          <w:rFonts w:hint="eastAsia" w:ascii="宋体" w:hAnsi="宋体" w:eastAsia="宋体" w:cs="宋体"/>
          <w:color w:val="auto"/>
          <w:szCs w:val="21"/>
          <w:highlight w:val="none"/>
          <w:u w:val="single"/>
        </w:rPr>
        <w:t>            </w:t>
      </w:r>
      <w:r>
        <w:rPr>
          <w:rFonts w:hint="eastAsia" w:ascii="宋体" w:hAnsi="宋体" w:eastAsia="宋体" w:cs="宋体"/>
          <w:color w:val="auto"/>
          <w:kern w:val="0"/>
          <w:szCs w:val="21"/>
          <w:highlight w:val="none"/>
        </w:rPr>
        <w:t>。</w:t>
      </w:r>
    </w:p>
    <w:p w14:paraId="68DC915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 交通运输</w:t>
      </w:r>
    </w:p>
    <w:p w14:paraId="65889BD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488" w:name="_Toc312677986"/>
      <w:bookmarkStart w:id="489" w:name="_Toc300934943"/>
      <w:bookmarkStart w:id="490" w:name="_Toc303539100"/>
      <w:bookmarkStart w:id="491" w:name="_Toc304295521"/>
      <w:bookmarkStart w:id="492" w:name="_Toc318581155"/>
      <w:r>
        <w:rPr>
          <w:rFonts w:hint="eastAsia" w:ascii="宋体" w:hAnsi="宋体" w:eastAsia="宋体" w:cs="宋体"/>
          <w:color w:val="auto"/>
          <w:szCs w:val="21"/>
          <w:highlight w:val="none"/>
        </w:rPr>
        <w:t>.10.1 出入现场的权利</w:t>
      </w:r>
    </w:p>
    <w:p w14:paraId="6CB6CDB4">
      <w:pPr>
        <w:spacing w:line="480" w:lineRule="exact"/>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关于出入现场的权利的约定：</w:t>
      </w:r>
      <w:r>
        <w:rPr>
          <w:rFonts w:hint="eastAsia" w:ascii="宋体" w:hAnsi="宋体" w:eastAsia="宋体" w:cs="宋体"/>
          <w:color w:val="auto"/>
          <w:szCs w:val="21"/>
          <w:highlight w:val="none"/>
          <w:u w:val="single"/>
        </w:rPr>
        <w:t>        </w:t>
      </w:r>
      <w:r>
        <w:rPr>
          <w:rFonts w:hint="eastAsia" w:ascii="宋体" w:hAnsi="宋体" w:eastAsia="宋体" w:cs="宋体"/>
          <w:color w:val="auto"/>
          <w:szCs w:val="21"/>
          <w:highlight w:val="none"/>
        </w:rPr>
        <w:t>。</w:t>
      </w:r>
    </w:p>
    <w:bookmarkEnd w:id="488"/>
    <w:bookmarkEnd w:id="489"/>
    <w:bookmarkEnd w:id="490"/>
    <w:bookmarkEnd w:id="491"/>
    <w:bookmarkEnd w:id="492"/>
    <w:p w14:paraId="29D64CC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493" w:name="_Toc312677987"/>
      <w:bookmarkStart w:id="494" w:name="_Toc300934944"/>
      <w:bookmarkStart w:id="495" w:name="_Toc318581156"/>
      <w:bookmarkStart w:id="496" w:name="_Toc304295522"/>
      <w:bookmarkStart w:id="497" w:name="_Toc303539101"/>
      <w:r>
        <w:rPr>
          <w:rFonts w:hint="eastAsia" w:ascii="宋体" w:hAnsi="宋体" w:eastAsia="宋体" w:cs="宋体"/>
          <w:color w:val="auto"/>
          <w:szCs w:val="21"/>
          <w:highlight w:val="none"/>
        </w:rPr>
        <w:t>.10.3 场内交通</w:t>
      </w:r>
    </w:p>
    <w:p w14:paraId="71A0A1C6">
      <w:pPr>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关于场外交通和场内交通的边界的约定：</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315457F6">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关于发包人向承包人免费提供满足工程施工需要的场内道路和交通设施的约定：</w:t>
      </w:r>
      <w:r>
        <w:rPr>
          <w:rFonts w:hint="eastAsia" w:ascii="宋体" w:hAnsi="宋体" w:eastAsia="宋体" w:cs="宋体"/>
          <w:color w:val="auto"/>
          <w:szCs w:val="21"/>
          <w:highlight w:val="none"/>
          <w:u w:val="single"/>
        </w:rPr>
        <w:t>               </w:t>
      </w:r>
      <w:r>
        <w:rPr>
          <w:rFonts w:hint="eastAsia" w:ascii="宋体" w:hAnsi="宋体" w:eastAsia="宋体" w:cs="宋体"/>
          <w:color w:val="auto"/>
          <w:szCs w:val="21"/>
          <w:highlight w:val="none"/>
        </w:rPr>
        <w:t>。</w:t>
      </w:r>
      <w:bookmarkEnd w:id="493"/>
      <w:bookmarkEnd w:id="494"/>
      <w:bookmarkEnd w:id="495"/>
      <w:bookmarkEnd w:id="496"/>
      <w:bookmarkEnd w:id="497"/>
      <w:r>
        <w:rPr>
          <w:rFonts w:hint="eastAsia" w:ascii="宋体" w:hAnsi="宋体" w:eastAsia="宋体" w:cs="宋体"/>
          <w:color w:val="auto"/>
          <w:szCs w:val="21"/>
          <w:highlight w:val="none"/>
        </w:rPr>
        <w:t xml:space="preserve">  </w:t>
      </w:r>
      <w:bookmarkStart w:id="498" w:name="_Toc318581157"/>
    </w:p>
    <w:p w14:paraId="3ECBDBAD">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1.10.4超大件和超重件的运输</w:t>
      </w:r>
    </w:p>
    <w:p w14:paraId="11792351">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运输超大件或超重件所需的道路和桥梁临时加固改造费用和其他有关费用由</w:t>
      </w:r>
    </w:p>
    <w:p w14:paraId="6B1BDB22">
      <w:pPr>
        <w:spacing w:line="4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承担。</w:t>
      </w:r>
    </w:p>
    <w:bookmarkEnd w:id="498"/>
    <w:p w14:paraId="5A496BD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知识产权</w:t>
      </w:r>
    </w:p>
    <w:p w14:paraId="6B4F27CA">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highlight w:val="none"/>
          <w:u w:val="single"/>
        </w:rPr>
        <w:t xml:space="preserve">                                                   </w:t>
      </w:r>
      <w:r>
        <w:rPr>
          <w:rFonts w:hint="eastAsia" w:ascii="宋体" w:hAnsi="宋体" w:eastAsia="宋体" w:cs="宋体"/>
          <w:color w:val="auto"/>
          <w:szCs w:val="21"/>
          <w:highlight w:val="none"/>
        </w:rPr>
        <w:t>。</w:t>
      </w:r>
    </w:p>
    <w:p w14:paraId="3E38FD20">
      <w:pPr>
        <w:spacing w:line="480" w:lineRule="exact"/>
        <w:ind w:left="596" w:leftChars="284"/>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关于发包人提供的上述文件的使用限制的要求：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84D4C5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关于承包人为实施工程所编制文件的著作权的归属：</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83FA32A">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关于承包人提供的上述文件的使用限制的要求：</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8B6311C">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1.11.4 承包人在施工过程中所采用的专利、专有技术、技术秘密的使用费的承担方式：</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1E24D74D">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1.13工程量清单错误的修正</w:t>
      </w:r>
    </w:p>
    <w:p w14:paraId="76FE0DED">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出现工程量清单错误时，是否调整合同价格：</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146F4616">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允许调整合同价格的工程量偏差范围：</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kern w:val="0"/>
          <w:szCs w:val="21"/>
          <w:highlight w:val="none"/>
        </w:rPr>
        <w:t>。</w:t>
      </w:r>
    </w:p>
    <w:p w14:paraId="1ABFBB92">
      <w:pPr>
        <w:spacing w:line="480" w:lineRule="exact"/>
        <w:rPr>
          <w:rFonts w:hint="eastAsia" w:ascii="宋体" w:hAnsi="宋体" w:eastAsia="宋体" w:cs="宋体"/>
          <w:color w:val="auto"/>
          <w:szCs w:val="21"/>
          <w:highlight w:val="none"/>
        </w:rPr>
      </w:pPr>
      <w:bookmarkStart w:id="499" w:name="_Toc351203634"/>
      <w:r>
        <w:rPr>
          <w:rFonts w:hint="eastAsia" w:ascii="宋体" w:hAnsi="宋体" w:eastAsia="宋体" w:cs="宋体"/>
          <w:color w:val="auto"/>
          <w:szCs w:val="21"/>
          <w:highlight w:val="none"/>
        </w:rPr>
        <w:t>2</w:t>
      </w:r>
      <w:bookmarkStart w:id="500" w:name="_Toc297120457"/>
      <w:bookmarkStart w:id="501" w:name="_Toc296890985"/>
      <w:bookmarkStart w:id="502" w:name="_Toc292559362"/>
      <w:bookmarkStart w:id="503" w:name="_Toc296347156"/>
      <w:bookmarkStart w:id="504" w:name="_Toc296503157"/>
      <w:bookmarkStart w:id="505" w:name="_Toc296891197"/>
      <w:bookmarkStart w:id="506" w:name="_Toc297048343"/>
      <w:bookmarkStart w:id="507" w:name="_Toc292559867"/>
      <w:bookmarkStart w:id="508" w:name="_Toc296346658"/>
      <w:bookmarkStart w:id="509" w:name="_Toc296944496"/>
      <w:r>
        <w:rPr>
          <w:rFonts w:hint="eastAsia" w:ascii="宋体" w:hAnsi="宋体" w:eastAsia="宋体" w:cs="宋体"/>
          <w:color w:val="auto"/>
          <w:szCs w:val="21"/>
          <w:highlight w:val="none"/>
        </w:rPr>
        <w:t>. 发包人</w:t>
      </w:r>
      <w:bookmarkEnd w:id="499"/>
    </w:p>
    <w:bookmarkEnd w:id="500"/>
    <w:bookmarkEnd w:id="501"/>
    <w:bookmarkEnd w:id="502"/>
    <w:bookmarkEnd w:id="503"/>
    <w:bookmarkEnd w:id="504"/>
    <w:bookmarkEnd w:id="505"/>
    <w:bookmarkEnd w:id="506"/>
    <w:bookmarkEnd w:id="507"/>
    <w:bookmarkEnd w:id="508"/>
    <w:bookmarkEnd w:id="509"/>
    <w:p w14:paraId="56421D9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发包人代表</w:t>
      </w:r>
    </w:p>
    <w:p w14:paraId="0555D0D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发包人代表：</w:t>
      </w:r>
    </w:p>
    <w:p w14:paraId="6F888C0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74B7D59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43F4E824">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48193AC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   </w:t>
      </w:r>
      <w:r>
        <w:rPr>
          <w:rFonts w:hint="eastAsia" w:ascii="宋体" w:hAnsi="宋体" w:eastAsia="宋体" w:cs="宋体"/>
          <w:color w:val="auto"/>
          <w:szCs w:val="21"/>
          <w:highlight w:val="none"/>
        </w:rPr>
        <w:t>；</w:t>
      </w:r>
    </w:p>
    <w:p w14:paraId="05CECE9F">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   </w:t>
      </w:r>
      <w:r>
        <w:rPr>
          <w:rFonts w:hint="eastAsia" w:ascii="宋体" w:hAnsi="宋体" w:eastAsia="宋体" w:cs="宋体"/>
          <w:color w:val="auto"/>
          <w:szCs w:val="21"/>
          <w:highlight w:val="none"/>
        </w:rPr>
        <w:t>；</w:t>
      </w:r>
    </w:p>
    <w:p w14:paraId="15F7D77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76513BFC">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发包人对发包人代表的授权范围如下：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604DC4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2.4 施工现场、施工条件和基础资料的提供</w:t>
      </w:r>
    </w:p>
    <w:p w14:paraId="3CAF6614">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 提供施工现场</w:t>
      </w:r>
    </w:p>
    <w:p w14:paraId="418CB52B">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关于发包人移交施工现场的期限要求：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3093B60">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 提供施工条件</w:t>
      </w:r>
    </w:p>
    <w:p w14:paraId="4EE390ED">
      <w:pPr>
        <w:spacing w:line="48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关于发包人应负责提供施工所需要的条件，包括：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A99EA4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2.5 资金来源证明及支付担保</w:t>
      </w:r>
    </w:p>
    <w:p w14:paraId="1E58FBE5">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发包人提供资金来源证明的期限要求：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8BAECEA">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发包人是否提供支付担保：</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6D68203F">
      <w:pPr>
        <w:spacing w:line="48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发包人提供支付担保的形式：</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4F7CFF43">
      <w:pPr>
        <w:spacing w:line="480" w:lineRule="exact"/>
        <w:rPr>
          <w:rFonts w:hint="eastAsia" w:ascii="宋体" w:hAnsi="宋体" w:eastAsia="宋体" w:cs="宋体"/>
          <w:color w:val="auto"/>
          <w:szCs w:val="21"/>
          <w:highlight w:val="none"/>
        </w:rPr>
      </w:pPr>
      <w:bookmarkStart w:id="510" w:name="_Toc351203635"/>
      <w:r>
        <w:rPr>
          <w:rFonts w:hint="eastAsia" w:ascii="宋体" w:hAnsi="宋体" w:eastAsia="宋体" w:cs="宋体"/>
          <w:color w:val="auto"/>
          <w:szCs w:val="21"/>
          <w:highlight w:val="none"/>
        </w:rPr>
        <w:t>3</w:t>
      </w:r>
      <w:bookmarkStart w:id="511" w:name="_Toc296347157"/>
      <w:bookmarkStart w:id="512" w:name="_Toc297048344"/>
      <w:bookmarkStart w:id="513" w:name="_Toc296890986"/>
      <w:bookmarkStart w:id="514" w:name="_Toc292559363"/>
      <w:bookmarkStart w:id="515" w:name="_Toc296891198"/>
      <w:bookmarkStart w:id="516" w:name="_Toc296944497"/>
      <w:bookmarkStart w:id="517" w:name="_Toc297120458"/>
      <w:bookmarkStart w:id="518" w:name="_Toc292559868"/>
      <w:bookmarkStart w:id="519" w:name="_Toc296503158"/>
      <w:bookmarkStart w:id="520" w:name="_Toc296346659"/>
      <w:r>
        <w:rPr>
          <w:rFonts w:hint="eastAsia" w:ascii="宋体" w:hAnsi="宋体" w:eastAsia="宋体" w:cs="宋体"/>
          <w:color w:val="auto"/>
          <w:szCs w:val="21"/>
          <w:highlight w:val="none"/>
        </w:rPr>
        <w:t>. 承包人</w:t>
      </w:r>
      <w:bookmarkEnd w:id="510"/>
    </w:p>
    <w:bookmarkEnd w:id="511"/>
    <w:bookmarkEnd w:id="512"/>
    <w:bookmarkEnd w:id="513"/>
    <w:bookmarkEnd w:id="514"/>
    <w:bookmarkEnd w:id="515"/>
    <w:bookmarkEnd w:id="516"/>
    <w:bookmarkEnd w:id="517"/>
    <w:bookmarkEnd w:id="518"/>
    <w:bookmarkEnd w:id="519"/>
    <w:bookmarkEnd w:id="520"/>
    <w:p w14:paraId="39796691">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承包人的一般义务</w:t>
      </w:r>
    </w:p>
    <w:p w14:paraId="0E8EC6DA">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（9）</w:t>
      </w:r>
      <w:r>
        <w:rPr>
          <w:rFonts w:hint="eastAsia" w:ascii="宋体" w:hAnsi="宋体" w:eastAsia="宋体" w:cs="宋体"/>
          <w:color w:val="auto"/>
          <w:szCs w:val="21"/>
          <w:highlight w:val="none"/>
        </w:rPr>
        <w:t>承包人提交的竣工资料的内容：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A7FC7D7">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承包人需要提交的竣工资料套数：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83B4A62">
      <w:pPr>
        <w:spacing w:line="480" w:lineRule="exact"/>
        <w:ind w:left="638" w:leftChars="304"/>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承包人提交的竣工资料的费用承担：</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9AFB657">
      <w:pPr>
        <w:spacing w:line="480" w:lineRule="exact"/>
        <w:ind w:left="638" w:leftChars="304"/>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承包人提交的竣工资料移交时间：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6318E8C">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承包人提交的竣工资料形式要求：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2EB6B0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（10）承包人应履行的其他义务：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F70A04D">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 项目经理</w:t>
      </w:r>
    </w:p>
    <w:p w14:paraId="17CCE36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3.2.1 </w:t>
      </w:r>
      <w:r>
        <w:rPr>
          <w:rFonts w:hint="eastAsia" w:ascii="宋体" w:hAnsi="宋体" w:eastAsia="宋体" w:cs="宋体"/>
          <w:color w:val="auto"/>
          <w:szCs w:val="21"/>
          <w:highlight w:val="none"/>
        </w:rPr>
        <w:t>项目经理：</w:t>
      </w:r>
    </w:p>
    <w:p w14:paraId="3905C7B3">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633768A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17E0D44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建造师执业资格等级：</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522442EC">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建造师注册证书号：</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39CB082D">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建造师执业印章号：</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029D93A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安全生产考核合格证书号：</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71FD930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       </w:t>
      </w:r>
      <w:r>
        <w:rPr>
          <w:rFonts w:hint="eastAsia" w:ascii="宋体" w:hAnsi="宋体" w:eastAsia="宋体" w:cs="宋体"/>
          <w:color w:val="auto"/>
          <w:szCs w:val="21"/>
          <w:highlight w:val="none"/>
        </w:rPr>
        <w:t>；</w:t>
      </w:r>
    </w:p>
    <w:p w14:paraId="3864918A">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5FFA4461">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25FFD77C">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承包人对项目经理的授权范围如下：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D68217A">
      <w:pPr>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关于项目经理每月在施工现场的时间要求：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 w:val="20"/>
          <w:szCs w:val="20"/>
          <w:highlight w:val="none"/>
          <w:u w:val="single"/>
          <w:lang w:val="en-US" w:eastAsia="zh-CN" w:bidi="ar"/>
        </w:rPr>
        <w:t>不少于 22 天。</w:t>
      </w:r>
    </w:p>
    <w:p w14:paraId="3C2445C4">
      <w:pPr>
        <w:spacing w:line="480" w:lineRule="exact"/>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承包人未提交劳动合同，以及没有为项目经理缴纳社会保险证明的违约责任：</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rPr>
        <w:t>。</w:t>
      </w:r>
    </w:p>
    <w:p w14:paraId="4DE89232">
      <w:pPr>
        <w:spacing w:line="48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项目经理未经批准，擅自离开施工现场的违约责任：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BAC317A">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 承包人擅自更换项目经理的违约责任：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DC2701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 承包人无正当理由拒绝更换项目经理的违约责任：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756D896F">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承包人人员</w:t>
      </w:r>
    </w:p>
    <w:p w14:paraId="75BDAD7D">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 承包人提交项目管理机构及施工现场管理人员安排报告的期限：</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614FC1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3.3.3 承包人无正当理由拒绝撤换主要施工管理人员的违约责任：</w:t>
      </w:r>
      <w:r>
        <w:rPr>
          <w:rFonts w:hint="eastAsia" w:ascii="宋体" w:hAnsi="宋体" w:eastAsia="宋体" w:cs="宋体"/>
          <w:color w:val="auto"/>
          <w:szCs w:val="21"/>
          <w:highlight w:val="none"/>
          <w:u w:val="single"/>
        </w:rPr>
        <w:t xml:space="preserve">     </w:t>
      </w:r>
      <w:r>
        <w:rPr>
          <w:rFonts w:hint="eastAsia" w:ascii="宋体" w:hAnsi="宋体" w:eastAsia="宋体" w:cs="宋体"/>
          <w:color w:val="auto"/>
          <w:szCs w:val="21"/>
          <w:highlight w:val="none"/>
        </w:rPr>
        <w:t>。</w:t>
      </w:r>
    </w:p>
    <w:p w14:paraId="34AE1335">
      <w:pPr>
        <w:spacing w:line="48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3.3.4 承包人主要施工管理人员离开施工现场的批准要求：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6FC604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3.3.5承包人擅自更换主要施工管理人员的违约责任：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A42E9FC">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承包人主要施工管理人员擅自离开施工现场的违约责任：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D5DE114">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521" w:name="_Toc296944498"/>
      <w:bookmarkStart w:id="522" w:name="_Toc292559364"/>
      <w:bookmarkStart w:id="523" w:name="_Toc297120459"/>
      <w:bookmarkStart w:id="524" w:name="_Toc296346660"/>
      <w:bookmarkStart w:id="525" w:name="_Toc296347158"/>
      <w:bookmarkStart w:id="526" w:name="_Toc292559869"/>
      <w:bookmarkStart w:id="527" w:name="_Toc312677988"/>
      <w:bookmarkStart w:id="528" w:name="_Toc304295523"/>
      <w:bookmarkStart w:id="529" w:name="_Toc297048345"/>
      <w:bookmarkStart w:id="530" w:name="_Toc296891199"/>
      <w:bookmarkStart w:id="531" w:name="_Toc303539102"/>
      <w:bookmarkStart w:id="532" w:name="_Toc300934945"/>
      <w:bookmarkStart w:id="533" w:name="_Toc296503159"/>
      <w:bookmarkStart w:id="534" w:name="_Toc297123492"/>
      <w:bookmarkStart w:id="535" w:name="_Toc297216151"/>
      <w:bookmarkStart w:id="536" w:name="_Toc296890987"/>
      <w:r>
        <w:rPr>
          <w:rFonts w:hint="eastAsia" w:ascii="宋体" w:hAnsi="宋体" w:eastAsia="宋体" w:cs="宋体"/>
          <w:color w:val="auto"/>
          <w:szCs w:val="21"/>
          <w:highlight w:val="none"/>
        </w:rPr>
        <w:t>.5 分包</w:t>
      </w:r>
    </w:p>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14:paraId="3561EE8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bookmarkStart w:id="537" w:name="_Toc304295524"/>
      <w:bookmarkStart w:id="538" w:name="_Toc296890988"/>
      <w:bookmarkStart w:id="539" w:name="_Toc292559365"/>
      <w:bookmarkStart w:id="540" w:name="_Toc296944499"/>
      <w:bookmarkStart w:id="541" w:name="_Toc297120460"/>
      <w:bookmarkStart w:id="542" w:name="_Toc292559870"/>
      <w:bookmarkStart w:id="543" w:name="_Toc296503160"/>
      <w:bookmarkStart w:id="544" w:name="_Toc297216152"/>
      <w:bookmarkStart w:id="545" w:name="_Toc303539103"/>
      <w:bookmarkStart w:id="546" w:name="_Toc296347159"/>
      <w:bookmarkStart w:id="547" w:name="_Toc300934946"/>
      <w:bookmarkStart w:id="548" w:name="_Toc297123493"/>
      <w:bookmarkStart w:id="549" w:name="_Toc297048346"/>
      <w:bookmarkStart w:id="550" w:name="_Toc296891200"/>
      <w:bookmarkStart w:id="551" w:name="_Toc296346661"/>
      <w:bookmarkStart w:id="552" w:name="_Toc312677989"/>
      <w:bookmarkStart w:id="553" w:name="_Toc318581158"/>
      <w:r>
        <w:rPr>
          <w:rFonts w:hint="eastAsia" w:ascii="宋体" w:hAnsi="宋体" w:eastAsia="宋体" w:cs="宋体"/>
          <w:color w:val="auto"/>
          <w:szCs w:val="21"/>
          <w:highlight w:val="none"/>
        </w:rPr>
        <w:t>.5.1 分包的一般约定</w:t>
      </w:r>
    </w:p>
    <w:p w14:paraId="64357C9A">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禁止分包的工程包括：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D0A7AA4">
      <w:pPr>
        <w:spacing w:line="48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主体结构、关键性工作的范围：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Start w:id="554" w:name="_Toc304295525"/>
      <w:bookmarkStart w:id="555" w:name="_Toc297123494"/>
      <w:bookmarkStart w:id="556" w:name="_Toc297048347"/>
      <w:bookmarkStart w:id="557" w:name="_Toc296346662"/>
      <w:bookmarkStart w:id="558" w:name="_Toc297216153"/>
      <w:bookmarkStart w:id="559" w:name="_Toc296347160"/>
      <w:bookmarkStart w:id="560" w:name="_Toc296890989"/>
      <w:bookmarkStart w:id="561" w:name="_Toc297120461"/>
      <w:bookmarkStart w:id="562" w:name="_Toc296891201"/>
      <w:bookmarkStart w:id="563" w:name="_Toc296503161"/>
      <w:bookmarkStart w:id="564" w:name="_Toc303539104"/>
      <w:bookmarkStart w:id="565" w:name="_Toc300934947"/>
      <w:bookmarkStart w:id="566" w:name="_Toc296944500"/>
    </w:p>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14:paraId="48D87DD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w:t>
      </w:r>
      <w:bookmarkStart w:id="567" w:name="_Toc318581159"/>
      <w:bookmarkStart w:id="568" w:name="_Toc312677990"/>
      <w:r>
        <w:rPr>
          <w:rFonts w:hint="eastAsia" w:ascii="宋体" w:hAnsi="宋体" w:eastAsia="宋体" w:cs="宋体"/>
          <w:color w:val="auto"/>
          <w:szCs w:val="21"/>
          <w:highlight w:val="none"/>
        </w:rPr>
        <w:t>.5.2分包的确定</w:t>
      </w:r>
    </w:p>
    <w:p w14:paraId="40E34AE0">
      <w:pPr>
        <w:spacing w:line="48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允许分包的专业工程包括：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476A9F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其他关于分包的约定：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8E2418E">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3.5.4 分包合同价款</w:t>
      </w:r>
    </w:p>
    <w:p w14:paraId="6A5516A7">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关于分包合同价款支付的约定：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567"/>
    <w:bookmarkEnd w:id="568"/>
    <w:p w14:paraId="621DE578">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3.6 工程照管与成品、半成品保护</w:t>
      </w:r>
    </w:p>
    <w:p w14:paraId="25E9535F">
      <w:pPr>
        <w:spacing w:before="120" w:after="120" w:line="480" w:lineRule="exact"/>
        <w:ind w:firstLine="420"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承包人负责照管工程及工程相关的材料、工程设备的起始时间：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3FDBD39E">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3.7 履约担保</w:t>
      </w:r>
    </w:p>
    <w:p w14:paraId="0B3347A2">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承包人是否提供履约担保：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7514AF9">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承包人提供履约担保的形式、金额及期限：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73039A9">
      <w:pPr>
        <w:spacing w:line="480" w:lineRule="exact"/>
        <w:rPr>
          <w:rFonts w:hint="eastAsia" w:ascii="宋体" w:hAnsi="宋体" w:eastAsia="宋体" w:cs="宋体"/>
          <w:color w:val="auto"/>
          <w:szCs w:val="21"/>
          <w:highlight w:val="none"/>
        </w:rPr>
      </w:pPr>
      <w:bookmarkStart w:id="569" w:name="_Toc351203636"/>
      <w:r>
        <w:rPr>
          <w:rFonts w:hint="eastAsia" w:ascii="宋体" w:hAnsi="宋体" w:eastAsia="宋体" w:cs="宋体"/>
          <w:color w:val="auto"/>
          <w:szCs w:val="21"/>
          <w:highlight w:val="none"/>
        </w:rPr>
        <w:t>4</w:t>
      </w:r>
      <w:bookmarkStart w:id="570" w:name="_Toc297048348"/>
      <w:bookmarkStart w:id="571" w:name="_Toc296944501"/>
      <w:bookmarkStart w:id="572" w:name="_Toc292559871"/>
      <w:bookmarkStart w:id="573" w:name="_Toc296346663"/>
      <w:bookmarkStart w:id="574" w:name="_Toc297120462"/>
      <w:bookmarkStart w:id="575" w:name="_Toc267251413"/>
      <w:bookmarkStart w:id="576" w:name="_Toc296891202"/>
      <w:bookmarkStart w:id="577" w:name="_Toc296503162"/>
      <w:bookmarkStart w:id="578" w:name="_Toc296347161"/>
      <w:bookmarkStart w:id="579" w:name="_Toc292559366"/>
      <w:bookmarkStart w:id="580" w:name="_Toc296890990"/>
      <w:r>
        <w:rPr>
          <w:rFonts w:hint="eastAsia" w:ascii="宋体" w:hAnsi="宋体" w:eastAsia="宋体" w:cs="宋体"/>
          <w:color w:val="auto"/>
          <w:szCs w:val="21"/>
          <w:highlight w:val="none"/>
        </w:rPr>
        <w:t>. 监</w:t>
      </w:r>
      <w:bookmarkEnd w:id="570"/>
      <w:bookmarkEnd w:id="571"/>
      <w:bookmarkEnd w:id="572"/>
      <w:bookmarkEnd w:id="573"/>
      <w:bookmarkEnd w:id="574"/>
      <w:bookmarkEnd w:id="575"/>
      <w:bookmarkEnd w:id="576"/>
      <w:bookmarkEnd w:id="577"/>
      <w:bookmarkEnd w:id="578"/>
      <w:bookmarkEnd w:id="579"/>
      <w:bookmarkEnd w:id="580"/>
      <w:r>
        <w:rPr>
          <w:rFonts w:hint="eastAsia" w:ascii="宋体" w:hAnsi="宋体" w:eastAsia="宋体" w:cs="宋体"/>
          <w:color w:val="auto"/>
          <w:szCs w:val="21"/>
          <w:highlight w:val="none"/>
        </w:rPr>
        <w:t>理人</w:t>
      </w:r>
      <w:bookmarkEnd w:id="569"/>
    </w:p>
    <w:p w14:paraId="02C7E894">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4.1监理人的一般规定</w:t>
      </w:r>
    </w:p>
    <w:p w14:paraId="0C188A3F">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关于监理人的监理内容：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B06289B">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关于监理人的监理权限：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1F83AC0B">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关于监理人在施工现场的办公场所、生活场所的提供和费用承担的约定：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EF7201E">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4.2 监理人员</w:t>
      </w:r>
    </w:p>
    <w:p w14:paraId="1628BBC8">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总监理工程师：</w:t>
      </w:r>
    </w:p>
    <w:p w14:paraId="138C0C5C">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33AC6270">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12F76AB2">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监理工程师执业资格证书号：</w:t>
      </w: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w:t>
      </w:r>
    </w:p>
    <w:p w14:paraId="6FE931B0">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6C3E1006">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电子信箱：</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57A15993">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通信地址：</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4DDCA543">
      <w:pPr>
        <w:spacing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关于监理人的其他约定：</w:t>
      </w:r>
      <w:r>
        <w:rPr>
          <w:rFonts w:hint="eastAsia" w:ascii="宋体" w:hAnsi="宋体" w:eastAsia="宋体" w:cs="宋体"/>
          <w:color w:val="auto"/>
          <w:szCs w:val="21"/>
          <w:highlight w:val="none"/>
          <w:u w:val="single"/>
        </w:rPr>
        <w:t>   </w:t>
      </w:r>
      <w:r>
        <w:rPr>
          <w:rFonts w:hint="eastAsia" w:ascii="宋体" w:hAnsi="宋体" w:eastAsia="宋体" w:cs="宋体"/>
          <w:color w:val="auto"/>
          <w:szCs w:val="21"/>
          <w:highlight w:val="none"/>
        </w:rPr>
        <w:t>。</w:t>
      </w:r>
    </w:p>
    <w:p w14:paraId="2949B7F6">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 商定或确定</w:t>
      </w:r>
    </w:p>
    <w:p w14:paraId="71A1838D">
      <w:pPr>
        <w:spacing w:line="480" w:lineRule="exact"/>
        <w:ind w:firstLine="420" w:firstLineChars="200"/>
        <w:rPr>
          <w:rFonts w:hint="eastAsia" w:ascii="宋体" w:hAnsi="宋体" w:eastAsia="宋体" w:cs="宋体"/>
          <w:color w:val="auto"/>
          <w:szCs w:val="21"/>
          <w:highlight w:val="none"/>
        </w:rPr>
      </w:pPr>
      <w:bookmarkStart w:id="581" w:name="_Toc267251418"/>
      <w:r>
        <w:rPr>
          <w:rFonts w:hint="eastAsia" w:ascii="宋体" w:hAnsi="宋体" w:eastAsia="宋体" w:cs="宋体"/>
          <w:color w:val="auto"/>
          <w:szCs w:val="21"/>
          <w:highlight w:val="none"/>
        </w:rPr>
        <w:t>在发包人和承包人不能通过协商达成一致意见时，发包人授权监理人对以下事项进行确定：</w:t>
      </w:r>
    </w:p>
    <w:p w14:paraId="089FD841">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B459EFA">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5C50E9">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FEDF73">
      <w:pPr>
        <w:spacing w:line="480" w:lineRule="exact"/>
        <w:rPr>
          <w:rFonts w:hint="eastAsia" w:ascii="宋体" w:hAnsi="宋体" w:eastAsia="宋体" w:cs="宋体"/>
          <w:color w:val="auto"/>
          <w:szCs w:val="21"/>
          <w:highlight w:val="none"/>
        </w:rPr>
      </w:pPr>
      <w:bookmarkStart w:id="582" w:name="_Toc351203637"/>
      <w:r>
        <w:rPr>
          <w:rFonts w:hint="eastAsia" w:ascii="宋体" w:hAnsi="宋体" w:eastAsia="宋体" w:cs="宋体"/>
          <w:color w:val="auto"/>
          <w:szCs w:val="21"/>
          <w:highlight w:val="none"/>
        </w:rPr>
        <w:t>5</w:t>
      </w:r>
      <w:bookmarkEnd w:id="581"/>
      <w:bookmarkStart w:id="583" w:name="_Toc292559367"/>
      <w:bookmarkStart w:id="584" w:name="_Toc296503163"/>
      <w:bookmarkStart w:id="585" w:name="_Toc297048349"/>
      <w:bookmarkStart w:id="586" w:name="_Toc292559872"/>
      <w:bookmarkStart w:id="587" w:name="_Toc296890991"/>
      <w:bookmarkStart w:id="588" w:name="_Toc296347162"/>
      <w:bookmarkStart w:id="589" w:name="_Toc297120463"/>
      <w:bookmarkStart w:id="590" w:name="_Toc296346664"/>
      <w:bookmarkStart w:id="591" w:name="_Toc296944502"/>
      <w:bookmarkStart w:id="592" w:name="_Toc296891203"/>
      <w:r>
        <w:rPr>
          <w:rFonts w:hint="eastAsia" w:ascii="宋体" w:hAnsi="宋体" w:eastAsia="宋体" w:cs="宋体"/>
          <w:color w:val="auto"/>
          <w:szCs w:val="21"/>
          <w:highlight w:val="none"/>
        </w:rPr>
        <w:t>. 工程质量</w:t>
      </w:r>
      <w:bookmarkEnd w:id="582"/>
    </w:p>
    <w:p w14:paraId="54149A2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5.1 质量要求</w:t>
      </w:r>
    </w:p>
    <w:p w14:paraId="7C441435">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bookmarkStart w:id="593" w:name="_Toc303539106"/>
      <w:bookmarkStart w:id="594" w:name="_Toc300934949"/>
      <w:bookmarkStart w:id="595" w:name="_Toc297123496"/>
      <w:bookmarkStart w:id="596" w:name="_Toc297216155"/>
      <w:bookmarkStart w:id="597" w:name="_Toc318581164"/>
      <w:bookmarkStart w:id="598" w:name="_Toc312677997"/>
      <w:bookmarkStart w:id="599" w:name="_Toc304295527"/>
      <w:r>
        <w:rPr>
          <w:rFonts w:hint="eastAsia" w:ascii="宋体" w:hAnsi="宋体" w:eastAsia="宋体" w:cs="宋体"/>
          <w:color w:val="auto"/>
          <w:szCs w:val="21"/>
          <w:highlight w:val="none"/>
        </w:rPr>
        <w:t>.1.1 特殊质量标准和要求：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E7E37A9">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关于工程奖项的约定：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283768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5.3 隐蔽工程检查</w:t>
      </w:r>
    </w:p>
    <w:p w14:paraId="51A39139">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5.3.2承包人提前通知监理人隐蔽工程检查的期限的约定：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6BF3848">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监理人不能按时进行检查时，应提前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小时提交书面延期要求。</w:t>
      </w:r>
    </w:p>
    <w:p w14:paraId="1F88F1CD">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关于延期最长不得超过：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小时。</w:t>
      </w:r>
    </w:p>
    <w:p w14:paraId="20F02C68">
      <w:pPr>
        <w:spacing w:line="480" w:lineRule="exact"/>
        <w:rPr>
          <w:rFonts w:hint="eastAsia" w:ascii="宋体" w:hAnsi="宋体" w:eastAsia="宋体" w:cs="宋体"/>
          <w:color w:val="auto"/>
          <w:szCs w:val="21"/>
          <w:highlight w:val="none"/>
        </w:rPr>
      </w:pPr>
      <w:bookmarkStart w:id="600" w:name="_Toc351203638"/>
      <w:r>
        <w:rPr>
          <w:rFonts w:hint="eastAsia" w:ascii="宋体" w:hAnsi="宋体" w:eastAsia="宋体" w:cs="宋体"/>
          <w:color w:val="auto"/>
          <w:szCs w:val="21"/>
          <w:highlight w:val="none"/>
        </w:rPr>
        <w:t>6. 安全文明施工与环境保护</w:t>
      </w:r>
      <w:bookmarkEnd w:id="600"/>
    </w:p>
    <w:p w14:paraId="7A5D4027">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6.1安全文明施工</w:t>
      </w:r>
    </w:p>
    <w:p w14:paraId="646AABC3">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 项目安全生产的达标目标及相应事项的约定：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526728E">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6.1.4 关于治安保卫的特别约定：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EDA891">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关于编制施工场地治安管理计划的约定：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12A22AC">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6.1.5 文明施工</w:t>
      </w:r>
    </w:p>
    <w:p w14:paraId="011D7C25">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合同当事人对文明施工的要求：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0E978F7">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6.1.6 关于安全文明施工费支付比例和支付期限的约定：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593"/>
    <w:bookmarkEnd w:id="594"/>
    <w:bookmarkEnd w:id="595"/>
    <w:bookmarkEnd w:id="596"/>
    <w:bookmarkEnd w:id="597"/>
    <w:bookmarkEnd w:id="598"/>
    <w:bookmarkEnd w:id="599"/>
    <w:p w14:paraId="12DEBA21">
      <w:pPr>
        <w:spacing w:line="480" w:lineRule="exact"/>
        <w:rPr>
          <w:rFonts w:hint="eastAsia" w:ascii="宋体" w:hAnsi="宋体" w:eastAsia="宋体" w:cs="宋体"/>
          <w:color w:val="auto"/>
          <w:szCs w:val="21"/>
          <w:highlight w:val="none"/>
        </w:rPr>
      </w:pPr>
      <w:bookmarkStart w:id="601" w:name="_Toc351203639"/>
      <w:r>
        <w:rPr>
          <w:rFonts w:hint="eastAsia" w:ascii="宋体" w:hAnsi="宋体" w:eastAsia="宋体" w:cs="宋体"/>
          <w:color w:val="auto"/>
          <w:szCs w:val="21"/>
          <w:highlight w:val="none"/>
        </w:rPr>
        <w:t>7. 工期和进度</w:t>
      </w:r>
      <w:bookmarkEnd w:id="601"/>
    </w:p>
    <w:p w14:paraId="7981AA6E">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 施工组织设计</w:t>
      </w:r>
    </w:p>
    <w:p w14:paraId="255A068D">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7.1.1 合</w:t>
      </w:r>
      <w:r>
        <w:rPr>
          <w:rFonts w:hint="eastAsia" w:ascii="宋体" w:hAnsi="宋体" w:eastAsia="宋体" w:cs="宋体"/>
          <w:color w:val="auto"/>
          <w:kern w:val="0"/>
          <w:szCs w:val="21"/>
          <w:highlight w:val="none"/>
        </w:rPr>
        <w:t>同当事人约定的施工组织设计应包括的其他内容：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60B3B38">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 xml:space="preserve">7.1.2 </w:t>
      </w:r>
      <w:r>
        <w:rPr>
          <w:rFonts w:hint="eastAsia" w:ascii="宋体" w:hAnsi="宋体" w:eastAsia="宋体" w:cs="宋体"/>
          <w:color w:val="auto"/>
          <w:kern w:val="0"/>
          <w:szCs w:val="21"/>
          <w:highlight w:val="none"/>
        </w:rPr>
        <w:t>施工组织设计的提交和修改</w:t>
      </w:r>
    </w:p>
    <w:p w14:paraId="420C85FA">
      <w:pPr>
        <w:autoSpaceDE w:val="0"/>
        <w:autoSpaceDN w:val="0"/>
        <w:adjustRightInd w:val="0"/>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承包人提交详细施工组织设计的期限的约定：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9298933">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发包人和监理人在收到详细的施工组织设计后确认或提出修改意见的期限：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CE161F2">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602" w:name="_Toc297123514"/>
      <w:bookmarkStart w:id="603" w:name="_Toc300934966"/>
      <w:bookmarkStart w:id="604" w:name="_Toc303539123"/>
      <w:bookmarkStart w:id="605" w:name="_Toc312678005"/>
      <w:bookmarkStart w:id="606" w:name="_Toc297216173"/>
      <w:bookmarkStart w:id="607" w:name="_Toc312677479"/>
      <w:bookmarkStart w:id="608" w:name="_Toc304295541"/>
      <w:r>
        <w:rPr>
          <w:rFonts w:hint="eastAsia" w:ascii="宋体" w:hAnsi="宋体" w:eastAsia="宋体" w:cs="宋体"/>
          <w:color w:val="auto"/>
          <w:szCs w:val="21"/>
          <w:highlight w:val="none"/>
        </w:rPr>
        <w:t>.2 施工进度计划</w:t>
      </w:r>
    </w:p>
    <w:p w14:paraId="5D07E9F5">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7.2.2 施工进度计划的修订</w:t>
      </w:r>
    </w:p>
    <w:p w14:paraId="37A3B26C">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发包人和监理人在收到修订的施工进度计划后确认或提出修改意见的期限：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86D2EC9">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 开工</w:t>
      </w:r>
    </w:p>
    <w:p w14:paraId="47870F43">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7.3.1 开工准备</w:t>
      </w:r>
    </w:p>
    <w:p w14:paraId="40632A55">
      <w:pPr>
        <w:spacing w:line="480" w:lineRule="exact"/>
        <w:ind w:firstLine="645"/>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关于承包人提交</w:t>
      </w:r>
      <w:r>
        <w:rPr>
          <w:rFonts w:hint="eastAsia" w:ascii="宋体" w:hAnsi="宋体" w:eastAsia="宋体" w:cs="宋体"/>
          <w:color w:val="auto"/>
          <w:kern w:val="0"/>
          <w:szCs w:val="21"/>
          <w:highlight w:val="none"/>
        </w:rPr>
        <w:t>工程开工报审表的期限：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5C8FB3E">
      <w:pPr>
        <w:spacing w:line="480" w:lineRule="exact"/>
        <w:ind w:firstLine="64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关于发包人应完成的其他开工准备工作及期限：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21E58F8">
      <w:pPr>
        <w:spacing w:line="480" w:lineRule="exact"/>
        <w:ind w:firstLine="525" w:firstLineChars="2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关于承包人应完成的其他开工准备工作及期限：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5057E56">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7.3.2开工通知</w:t>
      </w:r>
    </w:p>
    <w:p w14:paraId="098E2B13">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因发包人原因造成监理人未能在计划开工日期之日起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天内发出开工通知的，承包人有权提出价格调整要求，或者解除合同。</w:t>
      </w:r>
    </w:p>
    <w:bookmarkEnd w:id="602"/>
    <w:bookmarkEnd w:id="603"/>
    <w:bookmarkEnd w:id="604"/>
    <w:bookmarkEnd w:id="605"/>
    <w:bookmarkEnd w:id="606"/>
    <w:bookmarkEnd w:id="607"/>
    <w:bookmarkEnd w:id="608"/>
    <w:p w14:paraId="78FE39F4">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 测量放线</w:t>
      </w:r>
    </w:p>
    <w:p w14:paraId="47028108">
      <w:pPr>
        <w:spacing w:line="48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7.4.1发包人通过监理人向承包人提供测量基准点、基准线和水准点及其书面资料的期限：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877BDB8">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609" w:name="_Toc304295546"/>
      <w:bookmarkStart w:id="610" w:name="_Toc297216175"/>
      <w:bookmarkStart w:id="611" w:name="_Toc312677484"/>
      <w:bookmarkStart w:id="612" w:name="_Toc312678010"/>
      <w:bookmarkStart w:id="613" w:name="_Toc297123516"/>
      <w:bookmarkStart w:id="614" w:name="_Toc300934968"/>
      <w:bookmarkStart w:id="615" w:name="_Toc303539125"/>
      <w:r>
        <w:rPr>
          <w:rFonts w:hint="eastAsia" w:ascii="宋体" w:hAnsi="宋体" w:eastAsia="宋体" w:cs="宋体"/>
          <w:color w:val="auto"/>
          <w:szCs w:val="21"/>
          <w:highlight w:val="none"/>
        </w:rPr>
        <w:t>.5 工期延误</w:t>
      </w:r>
    </w:p>
    <w:bookmarkEnd w:id="609"/>
    <w:bookmarkEnd w:id="610"/>
    <w:bookmarkEnd w:id="611"/>
    <w:bookmarkEnd w:id="612"/>
    <w:bookmarkEnd w:id="613"/>
    <w:bookmarkEnd w:id="614"/>
    <w:bookmarkEnd w:id="615"/>
    <w:p w14:paraId="75C219C9">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7.5.1 因发包人原因导致工期延误</w:t>
      </w:r>
    </w:p>
    <w:p w14:paraId="54FDA1DC">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（7）因发包人原因导致工期延误的其他情形：</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DB34FCA">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616" w:name="_Toc312678012"/>
      <w:bookmarkStart w:id="617" w:name="_Toc312677486"/>
      <w:bookmarkStart w:id="618" w:name="_Toc318581169"/>
      <w:bookmarkStart w:id="619" w:name="_Toc297123518"/>
      <w:bookmarkStart w:id="620" w:name="_Toc303539127"/>
      <w:bookmarkStart w:id="621" w:name="_Toc297216177"/>
      <w:bookmarkStart w:id="622" w:name="_Toc300934970"/>
      <w:bookmarkStart w:id="623" w:name="_Toc304295548"/>
      <w:r>
        <w:rPr>
          <w:rFonts w:hint="eastAsia" w:ascii="宋体" w:hAnsi="宋体" w:eastAsia="宋体" w:cs="宋体"/>
          <w:color w:val="auto"/>
          <w:szCs w:val="21"/>
          <w:highlight w:val="none"/>
        </w:rPr>
        <w:t>.5.2 因承包人原因导致工期延误</w:t>
      </w:r>
    </w:p>
    <w:bookmarkEnd w:id="616"/>
    <w:bookmarkEnd w:id="617"/>
    <w:bookmarkEnd w:id="618"/>
    <w:p w14:paraId="33B9CE27">
      <w:pPr>
        <w:keepNext w:val="0"/>
        <w:keepLines w:val="0"/>
        <w:widowControl/>
        <w:suppressLineNumbers w:val="0"/>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因</w:t>
      </w:r>
      <w:bookmarkStart w:id="624" w:name="_Toc318581170"/>
      <w:bookmarkStart w:id="625" w:name="_Toc312677487"/>
      <w:bookmarkStart w:id="626" w:name="_Toc312678013"/>
      <w:r>
        <w:rPr>
          <w:rFonts w:hint="eastAsia" w:ascii="宋体" w:hAnsi="宋体" w:eastAsia="宋体" w:cs="宋体"/>
          <w:color w:val="auto"/>
          <w:szCs w:val="21"/>
          <w:highlight w:val="none"/>
        </w:rPr>
        <w:t>承包人原因造成工期延误，逾期竣工违约金的计算方法为：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 w:val="20"/>
          <w:szCs w:val="20"/>
          <w:highlight w:val="none"/>
          <w:u w:val="single"/>
          <w:lang w:val="en-US" w:eastAsia="zh-CN" w:bidi="ar"/>
        </w:rPr>
        <w:t>2000 元/天 。</w:t>
      </w:r>
    </w:p>
    <w:bookmarkEnd w:id="619"/>
    <w:bookmarkEnd w:id="620"/>
    <w:bookmarkEnd w:id="621"/>
    <w:bookmarkEnd w:id="622"/>
    <w:bookmarkEnd w:id="623"/>
    <w:bookmarkEnd w:id="624"/>
    <w:bookmarkEnd w:id="625"/>
    <w:bookmarkEnd w:id="626"/>
    <w:p w14:paraId="3F38A4B3">
      <w:pPr>
        <w:widowControl/>
        <w:spacing w:line="24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因承包人原因造成工期延误，逾</w:t>
      </w:r>
      <w:bookmarkStart w:id="627" w:name="_Toc312678014"/>
      <w:bookmarkStart w:id="628" w:name="_Toc318581171"/>
      <w:r>
        <w:rPr>
          <w:rFonts w:hint="eastAsia" w:ascii="宋体" w:hAnsi="宋体" w:eastAsia="宋体" w:cs="宋体"/>
          <w:color w:val="auto"/>
          <w:szCs w:val="21"/>
          <w:highlight w:val="none"/>
        </w:rPr>
        <w:t>期竣工违约金的上限：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 w:val="20"/>
          <w:szCs w:val="20"/>
          <w:highlight w:val="none"/>
          <w:u w:val="single"/>
          <w:lang w:val="en-US" w:eastAsia="zh-CN" w:bidi="ar"/>
        </w:rPr>
        <w:t>不超过中标金额的 5%</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627"/>
    <w:bookmarkEnd w:id="628"/>
    <w:p w14:paraId="25B0B1A3">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629" w:name="_Toc303539128"/>
      <w:bookmarkStart w:id="630" w:name="_Toc300934971"/>
      <w:bookmarkStart w:id="631" w:name="_Toc297216178"/>
      <w:bookmarkStart w:id="632" w:name="_Toc312678015"/>
      <w:bookmarkStart w:id="633" w:name="_Toc304295549"/>
      <w:bookmarkStart w:id="634" w:name="_Toc297123519"/>
      <w:r>
        <w:rPr>
          <w:rFonts w:hint="eastAsia" w:ascii="宋体" w:hAnsi="宋体" w:eastAsia="宋体" w:cs="宋体"/>
          <w:color w:val="auto"/>
          <w:szCs w:val="21"/>
          <w:highlight w:val="none"/>
        </w:rPr>
        <w:t>.6 不</w:t>
      </w:r>
      <w:bookmarkEnd w:id="629"/>
      <w:bookmarkEnd w:id="630"/>
      <w:bookmarkEnd w:id="631"/>
      <w:bookmarkEnd w:id="632"/>
      <w:bookmarkEnd w:id="633"/>
      <w:bookmarkEnd w:id="634"/>
      <w:r>
        <w:rPr>
          <w:rFonts w:hint="eastAsia" w:ascii="宋体" w:hAnsi="宋体" w:eastAsia="宋体" w:cs="宋体"/>
          <w:color w:val="auto"/>
          <w:szCs w:val="21"/>
          <w:highlight w:val="none"/>
        </w:rPr>
        <w:t>利物质条件</w:t>
      </w:r>
    </w:p>
    <w:p w14:paraId="26A20804">
      <w:pPr>
        <w:spacing w:line="480" w:lineRule="exact"/>
        <w:ind w:firstLine="420" w:firstLineChars="200"/>
        <w:jc w:val="left"/>
        <w:rPr>
          <w:rFonts w:hint="eastAsia" w:ascii="宋体" w:hAnsi="宋体" w:eastAsia="宋体" w:cs="宋体"/>
          <w:color w:val="auto"/>
          <w:szCs w:val="21"/>
          <w:highlight w:val="none"/>
        </w:rPr>
      </w:pPr>
      <w:bookmarkStart w:id="635" w:name="_Toc318581172"/>
      <w:bookmarkStart w:id="636" w:name="_Toc297123520"/>
      <w:bookmarkStart w:id="637" w:name="_Toc303539129"/>
      <w:bookmarkStart w:id="638" w:name="_Toc312678016"/>
      <w:bookmarkStart w:id="639" w:name="_Toc300934972"/>
      <w:bookmarkStart w:id="640" w:name="_Toc304295550"/>
      <w:bookmarkStart w:id="641" w:name="_Toc297216179"/>
      <w:r>
        <w:rPr>
          <w:rFonts w:hint="eastAsia" w:ascii="宋体" w:hAnsi="宋体" w:eastAsia="宋体" w:cs="宋体"/>
          <w:color w:val="auto"/>
          <w:szCs w:val="21"/>
          <w:highlight w:val="none"/>
        </w:rPr>
        <w:t>不利物质条件的其他情形和有关约定：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635"/>
    <w:bookmarkEnd w:id="636"/>
    <w:bookmarkEnd w:id="637"/>
    <w:bookmarkEnd w:id="638"/>
    <w:bookmarkEnd w:id="639"/>
    <w:bookmarkEnd w:id="640"/>
    <w:bookmarkEnd w:id="641"/>
    <w:p w14:paraId="10A22638">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bookmarkStart w:id="642" w:name="_Toc300934973"/>
      <w:bookmarkStart w:id="643" w:name="_Toc303539130"/>
      <w:bookmarkStart w:id="644" w:name="_Toc297123521"/>
      <w:bookmarkStart w:id="645" w:name="_Toc304295551"/>
      <w:bookmarkStart w:id="646" w:name="_Toc312678017"/>
      <w:bookmarkStart w:id="647" w:name="_Toc297216180"/>
      <w:r>
        <w:rPr>
          <w:rFonts w:hint="eastAsia" w:ascii="宋体" w:hAnsi="宋体" w:eastAsia="宋体" w:cs="宋体"/>
          <w:color w:val="auto"/>
          <w:szCs w:val="21"/>
          <w:highlight w:val="none"/>
        </w:rPr>
        <w:t>.7异常恶劣的气候条件</w:t>
      </w:r>
    </w:p>
    <w:bookmarkEnd w:id="642"/>
    <w:bookmarkEnd w:id="643"/>
    <w:bookmarkEnd w:id="644"/>
    <w:bookmarkEnd w:id="645"/>
    <w:bookmarkEnd w:id="646"/>
    <w:bookmarkEnd w:id="647"/>
    <w:p w14:paraId="7D8A90ED">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发包人和承包人同意以下情形视为异常恶劣的气候条件：</w:t>
      </w:r>
    </w:p>
    <w:p w14:paraId="5EA60575">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E0387FC">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D42E0C8">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682327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7.9 提前竣工的奖励</w:t>
      </w:r>
    </w:p>
    <w:p w14:paraId="3E2FDF45">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7.9.2提前竣工的奖励：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F762040">
      <w:pPr>
        <w:spacing w:line="480" w:lineRule="exact"/>
        <w:rPr>
          <w:rFonts w:hint="eastAsia" w:ascii="宋体" w:hAnsi="宋体" w:eastAsia="宋体" w:cs="宋体"/>
          <w:color w:val="auto"/>
          <w:szCs w:val="21"/>
          <w:highlight w:val="none"/>
        </w:rPr>
      </w:pPr>
      <w:bookmarkStart w:id="648" w:name="_Toc351203640"/>
      <w:r>
        <w:rPr>
          <w:rFonts w:hint="eastAsia" w:ascii="宋体" w:hAnsi="宋体" w:eastAsia="宋体" w:cs="宋体"/>
          <w:color w:val="auto"/>
          <w:szCs w:val="21"/>
          <w:highlight w:val="none"/>
        </w:rPr>
        <w:t>8. 材料与设备</w:t>
      </w:r>
      <w:bookmarkEnd w:id="648"/>
    </w:p>
    <w:bookmarkEnd w:id="583"/>
    <w:bookmarkEnd w:id="584"/>
    <w:bookmarkEnd w:id="585"/>
    <w:bookmarkEnd w:id="586"/>
    <w:bookmarkEnd w:id="587"/>
    <w:bookmarkEnd w:id="588"/>
    <w:bookmarkEnd w:id="589"/>
    <w:bookmarkEnd w:id="590"/>
    <w:bookmarkEnd w:id="591"/>
    <w:bookmarkEnd w:id="592"/>
    <w:p w14:paraId="6A0EAEDF">
      <w:pPr>
        <w:spacing w:after="120" w:line="4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bookmarkStart w:id="649" w:name="_Toc300934979"/>
      <w:bookmarkStart w:id="650" w:name="_Toc296346668"/>
      <w:bookmarkStart w:id="651" w:name="_Toc297123527"/>
      <w:bookmarkStart w:id="652" w:name="_Toc292559877"/>
      <w:bookmarkStart w:id="653" w:name="_Toc280868654"/>
      <w:bookmarkStart w:id="654" w:name="_Toc296347166"/>
      <w:bookmarkStart w:id="655" w:name="_Toc312677493"/>
      <w:bookmarkStart w:id="656" w:name="_Toc297048353"/>
      <w:bookmarkStart w:id="657" w:name="_Toc297216186"/>
      <w:bookmarkStart w:id="658" w:name="_Toc296503167"/>
      <w:bookmarkStart w:id="659" w:name="_Toc304295556"/>
      <w:bookmarkStart w:id="660" w:name="_Toc292559372"/>
      <w:bookmarkStart w:id="661" w:name="_Toc297120467"/>
      <w:bookmarkStart w:id="662" w:name="_Toc312678019"/>
      <w:bookmarkStart w:id="663" w:name="_Toc296944506"/>
      <w:bookmarkStart w:id="664" w:name="_Toc296890995"/>
      <w:bookmarkStart w:id="665" w:name="_Toc303539136"/>
      <w:bookmarkStart w:id="666" w:name="_Toc296891207"/>
      <w:bookmarkStart w:id="667" w:name="_Toc267251424"/>
      <w:bookmarkStart w:id="668" w:name="_Toc280868656"/>
      <w:bookmarkStart w:id="669" w:name="_Toc280868655"/>
      <w:r>
        <w:rPr>
          <w:rFonts w:hint="eastAsia" w:ascii="宋体" w:hAnsi="宋体" w:eastAsia="宋体" w:cs="宋体"/>
          <w:color w:val="auto"/>
          <w:szCs w:val="21"/>
          <w:highlight w:val="none"/>
        </w:rPr>
        <w:t>.4材料与工程设备的保管与使用</w:t>
      </w:r>
    </w:p>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14:paraId="69639ABF">
      <w:pPr>
        <w:spacing w:line="4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bookmarkStart w:id="670" w:name="_Toc292559373"/>
      <w:bookmarkStart w:id="671" w:name="_Toc292559878"/>
      <w:bookmarkStart w:id="672" w:name="_Toc296346669"/>
      <w:bookmarkStart w:id="673" w:name="_Toc297048354"/>
      <w:bookmarkStart w:id="674" w:name="_Toc303539137"/>
      <w:bookmarkStart w:id="675" w:name="_Toc296891208"/>
      <w:bookmarkStart w:id="676" w:name="_Toc318581173"/>
      <w:bookmarkStart w:id="677" w:name="_Toc296890996"/>
      <w:bookmarkStart w:id="678" w:name="_Toc297216187"/>
      <w:bookmarkStart w:id="679" w:name="_Toc304295557"/>
      <w:bookmarkStart w:id="680" w:name="_Toc312677494"/>
      <w:bookmarkStart w:id="681" w:name="_Toc296347167"/>
      <w:bookmarkStart w:id="682" w:name="_Toc297120468"/>
      <w:bookmarkStart w:id="683" w:name="_Toc296503168"/>
      <w:bookmarkStart w:id="684" w:name="_Toc312678020"/>
      <w:bookmarkStart w:id="685" w:name="_Toc300934980"/>
      <w:bookmarkStart w:id="686" w:name="_Toc296944507"/>
      <w:bookmarkStart w:id="687" w:name="_Toc297123528"/>
      <w:r>
        <w:rPr>
          <w:rFonts w:hint="eastAsia" w:ascii="宋体" w:hAnsi="宋体" w:eastAsia="宋体" w:cs="宋体"/>
          <w:color w:val="auto"/>
          <w:szCs w:val="21"/>
          <w:highlight w:val="none"/>
        </w:rPr>
        <w:t>.4.1发包人供应的材料设备的保管费用的承担：</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670"/>
      <w:bookmarkEnd w:id="671"/>
    </w:p>
    <w:p w14:paraId="2B30B50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8.6 样品</w:t>
      </w:r>
    </w:p>
    <w:p w14:paraId="32C3D51F">
      <w:pPr>
        <w:autoSpaceDE w:val="0"/>
        <w:autoSpaceDN w:val="0"/>
        <w:adjustRightInd w:val="0"/>
        <w:spacing w:line="48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8.6.1</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样品的报送与封存</w:t>
      </w:r>
    </w:p>
    <w:p w14:paraId="0964EE4A">
      <w:pPr>
        <w:autoSpaceDE w:val="0"/>
        <w:autoSpaceDN w:val="0"/>
        <w:adjustRightInd w:val="0"/>
        <w:spacing w:line="480" w:lineRule="exact"/>
        <w:ind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需要承包人报送样品的材料或工程设备，样品的种类、名称、规格、数量要求：</w:t>
      </w:r>
      <w:r>
        <w:rPr>
          <w:rFonts w:hint="eastAsia" w:ascii="宋体" w:hAnsi="宋体" w:eastAsia="宋体" w:cs="宋体"/>
          <w:color w:val="auto"/>
          <w:szCs w:val="21"/>
          <w:highlight w:val="none"/>
          <w:u w:val="single"/>
        </w:rPr>
        <w:t xml:space="preserve"> </w:t>
      </w:r>
    </w:p>
    <w:p w14:paraId="5DF5E42A">
      <w:pPr>
        <w:autoSpaceDE w:val="0"/>
        <w:autoSpaceDN w:val="0"/>
        <w:adjustRightInd w:val="0"/>
        <w:spacing w:line="4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CA3DB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8.8 施工设备和临时设施</w:t>
      </w:r>
    </w:p>
    <w:p w14:paraId="5055DE8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8.8.1 承包人提供的施工设备和临时设施</w:t>
      </w:r>
    </w:p>
    <w:p w14:paraId="1016296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关于修建临时设施费用承担的约定：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14:paraId="112A4DCE">
      <w:pPr>
        <w:spacing w:line="480" w:lineRule="exact"/>
        <w:rPr>
          <w:rFonts w:hint="eastAsia" w:ascii="宋体" w:hAnsi="宋体" w:eastAsia="宋体" w:cs="宋体"/>
          <w:color w:val="auto"/>
          <w:szCs w:val="21"/>
          <w:highlight w:val="none"/>
        </w:rPr>
      </w:pPr>
      <w:bookmarkStart w:id="688" w:name="_Toc351203641"/>
      <w:r>
        <w:rPr>
          <w:rFonts w:hint="eastAsia" w:ascii="宋体" w:hAnsi="宋体" w:eastAsia="宋体" w:cs="宋体"/>
          <w:color w:val="auto"/>
          <w:szCs w:val="21"/>
          <w:highlight w:val="none"/>
        </w:rPr>
        <w:t>9</w:t>
      </w:r>
      <w:bookmarkEnd w:id="667"/>
      <w:bookmarkEnd w:id="668"/>
      <w:bookmarkEnd w:id="669"/>
      <w:bookmarkStart w:id="689" w:name="_Toc297123533"/>
      <w:bookmarkStart w:id="690" w:name="_Toc312678021"/>
      <w:bookmarkStart w:id="691" w:name="_Toc304295559"/>
      <w:bookmarkStart w:id="692" w:name="_Toc300934982"/>
      <w:bookmarkStart w:id="693" w:name="_Toc297216192"/>
      <w:bookmarkStart w:id="694" w:name="_Toc312677495"/>
      <w:bookmarkStart w:id="695" w:name="_Toc303539139"/>
      <w:bookmarkStart w:id="696" w:name="_Toc267251428"/>
      <w:bookmarkStart w:id="697" w:name="_Toc292559883"/>
      <w:bookmarkStart w:id="698" w:name="_Toc296891213"/>
      <w:bookmarkStart w:id="699" w:name="_Toc296503173"/>
      <w:bookmarkStart w:id="700" w:name="_Toc296944512"/>
      <w:bookmarkStart w:id="701" w:name="_Toc267251427"/>
      <w:bookmarkStart w:id="702" w:name="_Toc297120473"/>
      <w:bookmarkStart w:id="703" w:name="_Toc297048359"/>
      <w:bookmarkStart w:id="704" w:name="_Toc292559378"/>
      <w:bookmarkStart w:id="705" w:name="_Toc296347172"/>
      <w:bookmarkStart w:id="706" w:name="_Toc296346674"/>
      <w:bookmarkStart w:id="707" w:name="_Toc296891001"/>
      <w:r>
        <w:rPr>
          <w:rFonts w:hint="eastAsia" w:ascii="宋体" w:hAnsi="宋体" w:eastAsia="宋体" w:cs="宋体"/>
          <w:color w:val="auto"/>
          <w:szCs w:val="21"/>
          <w:highlight w:val="none"/>
        </w:rPr>
        <w:t>. 试验与检验</w:t>
      </w:r>
      <w:bookmarkEnd w:id="688"/>
    </w:p>
    <w:bookmarkEnd w:id="689"/>
    <w:bookmarkEnd w:id="690"/>
    <w:bookmarkEnd w:id="691"/>
    <w:bookmarkEnd w:id="692"/>
    <w:bookmarkEnd w:id="693"/>
    <w:bookmarkEnd w:id="694"/>
    <w:bookmarkEnd w:id="695"/>
    <w:p w14:paraId="600D400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bookmarkStart w:id="708" w:name="_Toc312678022"/>
      <w:bookmarkStart w:id="709" w:name="_Toc297123534"/>
      <w:bookmarkStart w:id="710" w:name="_Toc297216193"/>
      <w:bookmarkStart w:id="711" w:name="_Toc303539140"/>
      <w:bookmarkStart w:id="712" w:name="_Toc300934983"/>
      <w:bookmarkStart w:id="713" w:name="_Toc312677496"/>
      <w:bookmarkStart w:id="714" w:name="_Toc304295560"/>
      <w:r>
        <w:rPr>
          <w:rFonts w:hint="eastAsia" w:ascii="宋体" w:hAnsi="宋体" w:eastAsia="宋体" w:cs="宋体"/>
          <w:color w:val="auto"/>
          <w:szCs w:val="21"/>
          <w:highlight w:val="none"/>
        </w:rPr>
        <w:t>.1试验设备与试验人员</w:t>
      </w:r>
    </w:p>
    <w:bookmarkEnd w:id="708"/>
    <w:bookmarkEnd w:id="709"/>
    <w:bookmarkEnd w:id="710"/>
    <w:bookmarkEnd w:id="711"/>
    <w:bookmarkEnd w:id="712"/>
    <w:bookmarkEnd w:id="713"/>
    <w:bookmarkEnd w:id="714"/>
    <w:p w14:paraId="03516A7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bookmarkStart w:id="715" w:name="_Toc312678023"/>
      <w:bookmarkStart w:id="716" w:name="_Toc297123535"/>
      <w:bookmarkStart w:id="717" w:name="_Toc303539141"/>
      <w:bookmarkStart w:id="718" w:name="_Toc304295561"/>
      <w:bookmarkStart w:id="719" w:name="_Toc300934984"/>
      <w:bookmarkStart w:id="720" w:name="_Toc312677497"/>
      <w:bookmarkStart w:id="721" w:name="_Toc297216194"/>
      <w:bookmarkStart w:id="722" w:name="_Toc318581174"/>
      <w:r>
        <w:rPr>
          <w:rFonts w:hint="eastAsia" w:ascii="宋体" w:hAnsi="宋体" w:eastAsia="宋体" w:cs="宋体"/>
          <w:color w:val="auto"/>
          <w:szCs w:val="21"/>
          <w:highlight w:val="none"/>
        </w:rPr>
        <w:t>.1.2 试验设备</w:t>
      </w:r>
    </w:p>
    <w:p w14:paraId="7218357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施工现场需要配置的试验场所：</w:t>
      </w:r>
      <w:bookmarkEnd w:id="715"/>
      <w:bookmarkEnd w:id="716"/>
      <w:bookmarkEnd w:id="717"/>
      <w:bookmarkEnd w:id="718"/>
      <w:bookmarkEnd w:id="719"/>
      <w:bookmarkEnd w:id="720"/>
      <w:bookmarkEnd w:id="721"/>
      <w:bookmarkStart w:id="723" w:name="_Toc297216195"/>
      <w:bookmarkStart w:id="724" w:name="_Toc303539142"/>
      <w:bookmarkStart w:id="725" w:name="_Toc304295562"/>
      <w:bookmarkStart w:id="726" w:name="_Toc297123536"/>
      <w:bookmarkStart w:id="727" w:name="_Toc300934985"/>
      <w:bookmarkStart w:id="728" w:name="_Toc312677498"/>
      <w:bookmarkStart w:id="729" w:name="_Toc312678024"/>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568DA7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施工现场需要配备的试验设备：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349B3A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施工现场需要具备的其他试验条件：</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3E8913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9.4 现场工艺试验 </w:t>
      </w:r>
    </w:p>
    <w:p w14:paraId="56EF885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现场工艺试验的有关约定：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722"/>
    <w:bookmarkEnd w:id="723"/>
    <w:bookmarkEnd w:id="724"/>
    <w:bookmarkEnd w:id="725"/>
    <w:bookmarkEnd w:id="726"/>
    <w:bookmarkEnd w:id="727"/>
    <w:bookmarkEnd w:id="728"/>
    <w:bookmarkEnd w:id="729"/>
    <w:p w14:paraId="510480AF">
      <w:pPr>
        <w:spacing w:line="480" w:lineRule="exact"/>
        <w:rPr>
          <w:rFonts w:hint="eastAsia" w:ascii="宋体" w:hAnsi="宋体" w:eastAsia="宋体" w:cs="宋体"/>
          <w:color w:val="auto"/>
          <w:szCs w:val="21"/>
          <w:highlight w:val="none"/>
        </w:rPr>
      </w:pPr>
      <w:bookmarkStart w:id="730" w:name="_Toc351203642"/>
      <w:r>
        <w:rPr>
          <w:rFonts w:hint="eastAsia" w:ascii="宋体" w:hAnsi="宋体" w:eastAsia="宋体" w:cs="宋体"/>
          <w:color w:val="auto"/>
          <w:szCs w:val="21"/>
          <w:highlight w:val="none"/>
        </w:rPr>
        <w:t>1</w:t>
      </w:r>
      <w:bookmarkEnd w:id="696"/>
      <w:bookmarkEnd w:id="697"/>
      <w:bookmarkEnd w:id="698"/>
      <w:bookmarkEnd w:id="699"/>
      <w:bookmarkEnd w:id="700"/>
      <w:bookmarkEnd w:id="701"/>
      <w:bookmarkEnd w:id="702"/>
      <w:bookmarkEnd w:id="703"/>
      <w:bookmarkEnd w:id="704"/>
      <w:bookmarkEnd w:id="705"/>
      <w:bookmarkEnd w:id="706"/>
      <w:bookmarkEnd w:id="707"/>
      <w:bookmarkStart w:id="731" w:name="_Toc304295566"/>
      <w:bookmarkStart w:id="732" w:name="_Toc297216199"/>
      <w:bookmarkStart w:id="733" w:name="_Toc296347192"/>
      <w:bookmarkStart w:id="734" w:name="_Toc296891021"/>
      <w:bookmarkStart w:id="735" w:name="_Toc296891233"/>
      <w:bookmarkStart w:id="736" w:name="_Toc297048379"/>
      <w:bookmarkStart w:id="737" w:name="_Toc296944532"/>
      <w:bookmarkStart w:id="738" w:name="_Toc292559398"/>
      <w:bookmarkStart w:id="739" w:name="_Toc303539146"/>
      <w:bookmarkStart w:id="740" w:name="_Toc292559903"/>
      <w:bookmarkStart w:id="741" w:name="_Toc297120493"/>
      <w:bookmarkStart w:id="742" w:name="_Toc300934989"/>
      <w:bookmarkStart w:id="743" w:name="_Toc296346694"/>
      <w:bookmarkStart w:id="744" w:name="_Toc296503193"/>
      <w:bookmarkStart w:id="745" w:name="_Toc297123540"/>
      <w:bookmarkStart w:id="746" w:name="_Toc312678025"/>
      <w:bookmarkStart w:id="747" w:name="_Toc312677499"/>
      <w:bookmarkStart w:id="748" w:name="_Toc267251433"/>
      <w:bookmarkStart w:id="749" w:name="_Toc267251435"/>
      <w:bookmarkStart w:id="750" w:name="_Toc267251437"/>
      <w:bookmarkStart w:id="751" w:name="_Toc267251439"/>
      <w:bookmarkStart w:id="752" w:name="_Toc267251440"/>
      <w:bookmarkStart w:id="753" w:name="_Toc267251441"/>
      <w:bookmarkStart w:id="754" w:name="_Toc267251442"/>
      <w:r>
        <w:rPr>
          <w:rFonts w:hint="eastAsia" w:ascii="宋体" w:hAnsi="宋体" w:eastAsia="宋体" w:cs="宋体"/>
          <w:color w:val="auto"/>
          <w:szCs w:val="21"/>
          <w:highlight w:val="none"/>
        </w:rPr>
        <w:t>0. 变更</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bookmarkEnd w:id="746"/>
    <w:bookmarkEnd w:id="747"/>
    <w:p w14:paraId="0A64FF8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755" w:name="_Toc297048380"/>
      <w:bookmarkStart w:id="756" w:name="_Toc296503194"/>
      <w:bookmarkStart w:id="757" w:name="_Toc297216200"/>
      <w:bookmarkStart w:id="758" w:name="_Toc303539147"/>
      <w:bookmarkStart w:id="759" w:name="_Toc312677500"/>
      <w:bookmarkStart w:id="760" w:name="_Toc292559904"/>
      <w:bookmarkStart w:id="761" w:name="_Toc296347193"/>
      <w:bookmarkStart w:id="762" w:name="_Toc296346695"/>
      <w:bookmarkStart w:id="763" w:name="_Toc300934990"/>
      <w:bookmarkStart w:id="764" w:name="_Toc304295567"/>
      <w:bookmarkStart w:id="765" w:name="_Toc296944533"/>
      <w:bookmarkStart w:id="766" w:name="_Toc297120494"/>
      <w:bookmarkStart w:id="767" w:name="_Toc297123541"/>
      <w:bookmarkStart w:id="768" w:name="_Toc292559399"/>
      <w:bookmarkStart w:id="769" w:name="_Toc296891022"/>
      <w:bookmarkStart w:id="770" w:name="_Toc312678026"/>
      <w:bookmarkStart w:id="771" w:name="_Toc296891234"/>
      <w:r>
        <w:rPr>
          <w:rFonts w:hint="eastAsia" w:ascii="宋体" w:hAnsi="宋体" w:eastAsia="宋体" w:cs="宋体"/>
          <w:color w:val="auto"/>
          <w:szCs w:val="21"/>
          <w:highlight w:val="none"/>
        </w:rPr>
        <w:t>0.1变更的范围</w:t>
      </w:r>
    </w:p>
    <w:p w14:paraId="2555FCA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关于变更的范围的约定：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63AB98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 变更估价</w:t>
      </w:r>
    </w:p>
    <w:p w14:paraId="42BF328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10.4.1 变更估价原则</w:t>
      </w:r>
    </w:p>
    <w:p w14:paraId="0A9AD77F">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关于变更估价的约定: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A1C891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Start w:id="772" w:name="_Toc297123544"/>
      <w:bookmarkStart w:id="773" w:name="_Toc296944536"/>
      <w:bookmarkStart w:id="774" w:name="_Toc296346698"/>
      <w:bookmarkStart w:id="775" w:name="_Toc303539150"/>
      <w:bookmarkStart w:id="776" w:name="_Toc297216203"/>
      <w:bookmarkStart w:id="777" w:name="_Toc296891237"/>
      <w:bookmarkStart w:id="778" w:name="_Toc300934993"/>
      <w:bookmarkStart w:id="779" w:name="_Toc296503197"/>
      <w:bookmarkStart w:id="780" w:name="_Toc296891025"/>
      <w:bookmarkStart w:id="781" w:name="_Toc292559402"/>
      <w:bookmarkStart w:id="782" w:name="_Toc296347196"/>
      <w:bookmarkStart w:id="783" w:name="_Toc297048383"/>
      <w:bookmarkStart w:id="784" w:name="_Toc297120497"/>
      <w:bookmarkStart w:id="785" w:name="_Toc292559907"/>
      <w:bookmarkStart w:id="786" w:name="_Toc312678029"/>
      <w:bookmarkStart w:id="787" w:name="_Toc312677503"/>
      <w:bookmarkStart w:id="788" w:name="_Toc304295570"/>
      <w:r>
        <w:rPr>
          <w:rFonts w:hint="eastAsia" w:ascii="宋体" w:hAnsi="宋体" w:eastAsia="宋体" w:cs="宋体"/>
          <w:color w:val="auto"/>
          <w:szCs w:val="21"/>
          <w:highlight w:val="none"/>
        </w:rPr>
        <w:t>0.5承</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9" w:name="_Toc296503203"/>
      <w:bookmarkStart w:id="790" w:name="_Toc296347202"/>
      <w:bookmarkStart w:id="791" w:name="_Toc303539151"/>
      <w:bookmarkStart w:id="792" w:name="_Toc296891031"/>
      <w:bookmarkStart w:id="793" w:name="_Toc296891243"/>
      <w:bookmarkStart w:id="794" w:name="_Toc292559408"/>
      <w:bookmarkStart w:id="795" w:name="_Toc300934994"/>
      <w:bookmarkStart w:id="796" w:name="_Toc292559913"/>
      <w:bookmarkStart w:id="797" w:name="_Toc297120503"/>
      <w:bookmarkStart w:id="798" w:name="_Toc296346704"/>
      <w:bookmarkStart w:id="799" w:name="_Toc296944542"/>
      <w:bookmarkStart w:id="800" w:name="_Toc297216204"/>
      <w:bookmarkStart w:id="801" w:name="_Toc297123545"/>
      <w:bookmarkStart w:id="802" w:name="_Toc297048389"/>
      <w:r>
        <w:rPr>
          <w:rFonts w:hint="eastAsia" w:ascii="宋体" w:hAnsi="宋体" w:eastAsia="宋体" w:cs="宋体"/>
          <w:color w:val="auto"/>
          <w:szCs w:val="21"/>
          <w:highlight w:val="none"/>
        </w:rPr>
        <w:t>包人的合理化建议</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49D41B2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监理人审查承包人合理化建议的期限：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3D4EBB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发包人审批承包人合理化建议的期限：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ACB8FF3">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承</w:t>
      </w:r>
      <w:bookmarkStart w:id="803" w:name="_Toc312677504"/>
      <w:bookmarkStart w:id="804" w:name="_Toc297048390"/>
      <w:bookmarkStart w:id="805" w:name="_Toc292559409"/>
      <w:bookmarkStart w:id="806" w:name="_Toc312678030"/>
      <w:bookmarkStart w:id="807" w:name="_Toc296944543"/>
      <w:bookmarkStart w:id="808" w:name="_Toc300934995"/>
      <w:bookmarkStart w:id="809" w:name="_Toc297216205"/>
      <w:bookmarkStart w:id="810" w:name="_Toc304295571"/>
      <w:bookmarkStart w:id="811" w:name="_Toc318581175"/>
      <w:bookmarkStart w:id="812" w:name="_Toc296503204"/>
      <w:bookmarkStart w:id="813" w:name="_Toc296347203"/>
      <w:bookmarkStart w:id="814" w:name="_Toc296891032"/>
      <w:bookmarkStart w:id="815" w:name="_Toc297120504"/>
      <w:bookmarkStart w:id="816" w:name="_Toc296346705"/>
      <w:bookmarkStart w:id="817" w:name="_Toc303539152"/>
      <w:bookmarkStart w:id="818" w:name="_Toc297123546"/>
      <w:bookmarkStart w:id="819" w:name="_Toc296891244"/>
      <w:bookmarkStart w:id="820" w:name="_Toc292559914"/>
      <w:r>
        <w:rPr>
          <w:rFonts w:hint="eastAsia" w:ascii="宋体" w:hAnsi="宋体" w:eastAsia="宋体" w:cs="宋体"/>
          <w:color w:val="auto"/>
          <w:szCs w:val="21"/>
          <w:highlight w:val="none"/>
        </w:rPr>
        <w:t>包人提出的合理化建议降低了合同价格或者提高了工程经济效益的奖励的方法和金额为：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053F778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821" w:name="_Toc297123548"/>
      <w:bookmarkStart w:id="822" w:name="_Toc300934997"/>
      <w:bookmarkStart w:id="823" w:name="_Toc312677507"/>
      <w:bookmarkStart w:id="824" w:name="_Toc292559404"/>
      <w:bookmarkStart w:id="825" w:name="_Toc296346700"/>
      <w:bookmarkStart w:id="826" w:name="_Toc303539154"/>
      <w:bookmarkStart w:id="827" w:name="_Toc296891239"/>
      <w:bookmarkStart w:id="828" w:name="_Toc297048385"/>
      <w:bookmarkStart w:id="829" w:name="_Toc296347198"/>
      <w:bookmarkStart w:id="830" w:name="_Toc312678033"/>
      <w:bookmarkStart w:id="831" w:name="_Toc297216207"/>
      <w:bookmarkStart w:id="832" w:name="_Toc296891027"/>
      <w:bookmarkStart w:id="833" w:name="_Toc292559909"/>
      <w:bookmarkStart w:id="834" w:name="_Toc304295574"/>
      <w:bookmarkStart w:id="835" w:name="_Toc296503199"/>
      <w:bookmarkStart w:id="836" w:name="_Toc296944538"/>
      <w:bookmarkStart w:id="837" w:name="_Toc297120499"/>
      <w:r>
        <w:rPr>
          <w:rFonts w:hint="eastAsia" w:ascii="宋体" w:hAnsi="宋体" w:eastAsia="宋体" w:cs="宋体"/>
          <w:color w:val="auto"/>
          <w:szCs w:val="21"/>
          <w:highlight w:val="none"/>
        </w:rPr>
        <w:t>0.7 暂估价</w:t>
      </w:r>
    </w:p>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14:paraId="7EE0C050">
      <w:pPr>
        <w:spacing w:line="48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暂</w:t>
      </w:r>
      <w:bookmarkStart w:id="838" w:name="_Toc318581176"/>
      <w:bookmarkStart w:id="839" w:name="_Toc312678034"/>
      <w:bookmarkStart w:id="840" w:name="_Toc312677508"/>
      <w:r>
        <w:rPr>
          <w:rFonts w:hint="eastAsia" w:ascii="宋体" w:hAnsi="宋体" w:eastAsia="宋体" w:cs="宋体"/>
          <w:color w:val="auto"/>
          <w:kern w:val="0"/>
          <w:szCs w:val="21"/>
          <w:highlight w:val="none"/>
        </w:rPr>
        <w:t>估价材料和工程设备的明细详见附件11：《</w:t>
      </w:r>
      <w:r>
        <w:rPr>
          <w:rFonts w:hint="eastAsia" w:ascii="宋体" w:hAnsi="宋体" w:eastAsia="宋体" w:cs="宋体"/>
          <w:color w:val="auto"/>
          <w:szCs w:val="21"/>
          <w:highlight w:val="none"/>
        </w:rPr>
        <w:t>暂估价一览表》</w:t>
      </w:r>
      <w:r>
        <w:rPr>
          <w:rFonts w:hint="eastAsia" w:ascii="宋体" w:hAnsi="宋体" w:eastAsia="宋体" w:cs="宋体"/>
          <w:color w:val="auto"/>
          <w:kern w:val="0"/>
          <w:szCs w:val="21"/>
          <w:highlight w:val="none"/>
        </w:rPr>
        <w:t>。</w:t>
      </w:r>
    </w:p>
    <w:bookmarkEnd w:id="838"/>
    <w:bookmarkEnd w:id="839"/>
    <w:bookmarkEnd w:id="840"/>
    <w:p w14:paraId="27E2EC5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Start w:id="841" w:name="_Toc312678035"/>
      <w:bookmarkStart w:id="842" w:name="_Toc312677509"/>
      <w:bookmarkStart w:id="843" w:name="_Toc318581177"/>
      <w:r>
        <w:rPr>
          <w:rFonts w:hint="eastAsia" w:ascii="宋体" w:hAnsi="宋体" w:eastAsia="宋体" w:cs="宋体"/>
          <w:color w:val="auto"/>
          <w:szCs w:val="21"/>
          <w:highlight w:val="none"/>
        </w:rPr>
        <w:t>0.7.1 依法必须招标的暂估价项目</w:t>
      </w:r>
    </w:p>
    <w:bookmarkEnd w:id="841"/>
    <w:bookmarkEnd w:id="842"/>
    <w:bookmarkEnd w:id="843"/>
    <w:p w14:paraId="1A5D62F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对于依法必须招标的暂估价项目的确认和批准采取第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种方式确定。</w:t>
      </w:r>
    </w:p>
    <w:p w14:paraId="7385061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10.7.2 不属于依法必须招标的暂估价项目</w:t>
      </w:r>
    </w:p>
    <w:p w14:paraId="3CB2523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对于不属于依法必须招标的暂估价项目的确认和批准采取第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种方式确定。</w:t>
      </w:r>
    </w:p>
    <w:p w14:paraId="74AD290D">
      <w:pPr>
        <w:spacing w:line="480" w:lineRule="exact"/>
        <w:rPr>
          <w:rFonts w:hint="eastAsia" w:ascii="宋体" w:hAnsi="宋体" w:eastAsia="宋体" w:cs="宋体"/>
          <w:color w:val="auto"/>
          <w:kern w:val="0"/>
          <w:szCs w:val="21"/>
          <w:highlight w:val="none"/>
        </w:rPr>
      </w:pPr>
      <w:bookmarkStart w:id="844" w:name="_Toc30747"/>
      <w:r>
        <w:rPr>
          <w:rFonts w:hint="eastAsia" w:ascii="宋体" w:hAnsi="宋体" w:eastAsia="宋体" w:cs="宋体"/>
          <w:color w:val="auto"/>
          <w:szCs w:val="21"/>
          <w:highlight w:val="none"/>
        </w:rPr>
        <w:t>第3种方式：</w:t>
      </w:r>
      <w:r>
        <w:rPr>
          <w:rFonts w:hint="eastAsia" w:ascii="宋体" w:hAnsi="宋体" w:eastAsia="宋体" w:cs="宋体"/>
          <w:color w:val="auto"/>
          <w:kern w:val="0"/>
          <w:szCs w:val="21"/>
          <w:highlight w:val="none"/>
        </w:rPr>
        <w:t>承包人直接实施的暂估价项目</w:t>
      </w:r>
      <w:bookmarkEnd w:id="844"/>
    </w:p>
    <w:p w14:paraId="45804DF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承包人直接实施的暂估价项目的约定：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D6F02E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10.8 暂列金额</w:t>
      </w:r>
    </w:p>
    <w:p w14:paraId="00CE0C4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合同当事人关于暂列金额使用的约定：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p>
    <w:p w14:paraId="2EC2AB48">
      <w:pPr>
        <w:spacing w:line="480" w:lineRule="exact"/>
        <w:rPr>
          <w:rFonts w:hint="eastAsia" w:ascii="宋体" w:hAnsi="宋体" w:eastAsia="宋体" w:cs="宋体"/>
          <w:color w:val="auto"/>
          <w:szCs w:val="21"/>
          <w:highlight w:val="none"/>
        </w:rPr>
      </w:pPr>
      <w:bookmarkStart w:id="845" w:name="_Toc351203643"/>
      <w:r>
        <w:rPr>
          <w:rFonts w:hint="eastAsia" w:ascii="宋体" w:hAnsi="宋体" w:eastAsia="宋体" w:cs="宋体"/>
          <w:color w:val="auto"/>
          <w:szCs w:val="21"/>
          <w:highlight w:val="none"/>
        </w:rPr>
        <w:t>11. 价格调整</w:t>
      </w:r>
      <w:bookmarkEnd w:id="845"/>
    </w:p>
    <w:p w14:paraId="5BF619A5">
      <w:pPr>
        <w:spacing w:line="480" w:lineRule="exact"/>
        <w:rPr>
          <w:rFonts w:hint="eastAsia" w:ascii="宋体" w:hAnsi="宋体" w:eastAsia="宋体" w:cs="宋体"/>
          <w:color w:val="auto"/>
          <w:szCs w:val="21"/>
          <w:highlight w:val="none"/>
        </w:rPr>
      </w:pPr>
      <w:bookmarkStart w:id="846" w:name="_Toc297048387"/>
      <w:bookmarkStart w:id="847" w:name="_Toc312678039"/>
      <w:bookmarkStart w:id="848" w:name="_Toc296891029"/>
      <w:bookmarkStart w:id="849" w:name="_Toc296346702"/>
      <w:bookmarkStart w:id="850" w:name="_Toc292559406"/>
      <w:bookmarkStart w:id="851" w:name="_Toc296347200"/>
      <w:bookmarkStart w:id="852" w:name="_Toc292559911"/>
      <w:bookmarkStart w:id="853" w:name="_Toc296891241"/>
      <w:bookmarkStart w:id="854" w:name="_Toc297120501"/>
      <w:bookmarkStart w:id="855" w:name="_Toc304295577"/>
      <w:bookmarkStart w:id="856" w:name="_Toc300935000"/>
      <w:bookmarkStart w:id="857" w:name="_Toc296503201"/>
      <w:bookmarkStart w:id="858" w:name="_Toc297216209"/>
      <w:bookmarkStart w:id="859" w:name="_Toc303539157"/>
      <w:bookmarkStart w:id="860" w:name="_Toc296944540"/>
      <w:bookmarkStart w:id="861" w:name="_Toc297123550"/>
      <w:r>
        <w:rPr>
          <w:rFonts w:hint="eastAsia" w:ascii="宋体" w:hAnsi="宋体" w:eastAsia="宋体" w:cs="宋体"/>
          <w:color w:val="auto"/>
          <w:szCs w:val="21"/>
          <w:highlight w:val="none"/>
        </w:rPr>
        <w:t>11.1 市场价格波动引起的调整</w:t>
      </w:r>
    </w:p>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14:paraId="1CADB12F">
      <w:pPr>
        <w:spacing w:line="48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市场价格波动是否调整合同价格的约定：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351526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因市场价格波动调整合同价格，采用以下第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种方式对合同价格进行调整：</w:t>
      </w:r>
    </w:p>
    <w:p w14:paraId="23385D93">
      <w:pPr>
        <w:spacing w:line="480" w:lineRule="exact"/>
        <w:rPr>
          <w:rFonts w:hint="eastAsia" w:ascii="宋体" w:hAnsi="宋体" w:eastAsia="宋体" w:cs="宋体"/>
          <w:color w:val="auto"/>
          <w:szCs w:val="21"/>
          <w:highlight w:val="none"/>
        </w:rPr>
      </w:pPr>
      <w:bookmarkStart w:id="862" w:name="_Toc196"/>
      <w:r>
        <w:rPr>
          <w:rFonts w:hint="eastAsia" w:ascii="宋体" w:hAnsi="宋体" w:eastAsia="宋体" w:cs="宋体"/>
          <w:color w:val="auto"/>
          <w:szCs w:val="21"/>
          <w:highlight w:val="none"/>
        </w:rPr>
        <w:t>第1种方式：采用价格指数进行价格调整。</w:t>
      </w:r>
      <w:bookmarkEnd w:id="862"/>
    </w:p>
    <w:p w14:paraId="3EC7FE92">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关于各可调因子、定值和变值权重，以及基本价格指数及其来源的约定：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4A80E4B">
      <w:pPr>
        <w:spacing w:line="480" w:lineRule="exact"/>
        <w:rPr>
          <w:rFonts w:hint="eastAsia" w:ascii="宋体" w:hAnsi="宋体" w:eastAsia="宋体" w:cs="宋体"/>
          <w:color w:val="auto"/>
          <w:szCs w:val="21"/>
          <w:highlight w:val="none"/>
        </w:rPr>
      </w:pPr>
      <w:bookmarkStart w:id="863" w:name="_Toc27953"/>
      <w:r>
        <w:rPr>
          <w:rFonts w:hint="eastAsia" w:ascii="宋体" w:hAnsi="宋体" w:eastAsia="宋体" w:cs="宋体"/>
          <w:color w:val="auto"/>
          <w:szCs w:val="21"/>
          <w:highlight w:val="none"/>
        </w:rPr>
        <w:t>第2种方式：采用造价信息进行价格调整。</w:t>
      </w:r>
      <w:bookmarkEnd w:id="863"/>
    </w:p>
    <w:p w14:paraId="38DE519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（2）关于基准价格的约定：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0A7F40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%时，或材料单价跌幅以已标价工程量清单或预算书中载明材料单价为基础超过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%时，其超过部分据实调整。</w:t>
      </w:r>
    </w:p>
    <w:p w14:paraId="2BB4A29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%时，材料单价涨幅以已标价工程量清单或预算书中载明材料单价为基础超过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%时，其超过部分据实调整。</w:t>
      </w:r>
    </w:p>
    <w:p w14:paraId="3EA25D6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%时，其超过部分据实调整。</w:t>
      </w:r>
    </w:p>
    <w:p w14:paraId="66C0E715">
      <w:pPr>
        <w:spacing w:line="480" w:lineRule="exact"/>
        <w:rPr>
          <w:rFonts w:hint="eastAsia" w:ascii="宋体" w:hAnsi="宋体" w:eastAsia="宋体" w:cs="宋体"/>
          <w:color w:val="auto"/>
          <w:szCs w:val="21"/>
          <w:highlight w:val="none"/>
        </w:rPr>
      </w:pPr>
      <w:bookmarkStart w:id="864" w:name="_Toc4128"/>
      <w:r>
        <w:rPr>
          <w:rFonts w:hint="eastAsia" w:ascii="宋体" w:hAnsi="宋体" w:eastAsia="宋体" w:cs="宋体"/>
          <w:color w:val="auto"/>
          <w:szCs w:val="21"/>
          <w:highlight w:val="none"/>
        </w:rPr>
        <w:t>第3种方式：其他价格调整方式：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864"/>
    </w:p>
    <w:bookmarkEnd w:id="748"/>
    <w:bookmarkEnd w:id="749"/>
    <w:bookmarkEnd w:id="750"/>
    <w:bookmarkEnd w:id="751"/>
    <w:bookmarkEnd w:id="752"/>
    <w:bookmarkEnd w:id="753"/>
    <w:p w14:paraId="349100C7">
      <w:pPr>
        <w:spacing w:line="480" w:lineRule="exact"/>
        <w:rPr>
          <w:rFonts w:hint="eastAsia" w:ascii="宋体" w:hAnsi="宋体" w:eastAsia="宋体" w:cs="宋体"/>
          <w:color w:val="auto"/>
          <w:szCs w:val="21"/>
          <w:highlight w:val="none"/>
        </w:rPr>
      </w:pPr>
      <w:bookmarkStart w:id="865" w:name="_Toc292559915"/>
      <w:bookmarkStart w:id="866" w:name="_Toc296503205"/>
      <w:bookmarkStart w:id="867" w:name="_Toc297048391"/>
      <w:bookmarkStart w:id="868" w:name="_Toc296346706"/>
      <w:bookmarkStart w:id="869" w:name="_Toc297120505"/>
      <w:bookmarkStart w:id="870" w:name="_Toc296891245"/>
      <w:bookmarkStart w:id="871" w:name="_Toc296891033"/>
      <w:bookmarkStart w:id="872" w:name="_Toc296944544"/>
      <w:bookmarkStart w:id="873" w:name="_Toc296347204"/>
      <w:bookmarkStart w:id="874" w:name="_Toc292559410"/>
      <w:bookmarkStart w:id="875" w:name="_Toc351203644"/>
      <w:bookmarkStart w:id="876" w:name="_Toc297123552"/>
      <w:bookmarkStart w:id="877" w:name="_Toc297216211"/>
      <w:bookmarkStart w:id="878" w:name="_Toc304295579"/>
      <w:bookmarkStart w:id="879" w:name="_Toc312678040"/>
      <w:bookmarkStart w:id="880" w:name="_Toc303539159"/>
      <w:bookmarkStart w:id="881" w:name="_Toc300935002"/>
      <w:r>
        <w:rPr>
          <w:rFonts w:hint="eastAsia" w:ascii="宋体" w:hAnsi="宋体" w:eastAsia="宋体" w:cs="宋体"/>
          <w:color w:val="auto"/>
          <w:szCs w:val="21"/>
          <w:highlight w:val="none"/>
        </w:rPr>
        <w:t xml:space="preserve">12. </w:t>
      </w:r>
      <w:bookmarkEnd w:id="865"/>
      <w:bookmarkEnd w:id="866"/>
      <w:bookmarkEnd w:id="867"/>
      <w:bookmarkEnd w:id="868"/>
      <w:bookmarkEnd w:id="869"/>
      <w:bookmarkEnd w:id="870"/>
      <w:bookmarkEnd w:id="871"/>
      <w:bookmarkEnd w:id="872"/>
      <w:bookmarkEnd w:id="873"/>
      <w:bookmarkEnd w:id="874"/>
      <w:r>
        <w:rPr>
          <w:rFonts w:hint="eastAsia" w:ascii="宋体" w:hAnsi="宋体" w:eastAsia="宋体" w:cs="宋体"/>
          <w:color w:val="auto"/>
          <w:szCs w:val="21"/>
          <w:highlight w:val="none"/>
        </w:rPr>
        <w:t>合同价格、计量与支付</w:t>
      </w:r>
      <w:bookmarkEnd w:id="875"/>
    </w:p>
    <w:bookmarkEnd w:id="876"/>
    <w:bookmarkEnd w:id="877"/>
    <w:bookmarkEnd w:id="878"/>
    <w:bookmarkEnd w:id="879"/>
    <w:bookmarkEnd w:id="880"/>
    <w:bookmarkEnd w:id="881"/>
    <w:p w14:paraId="3A7E01A1">
      <w:pPr>
        <w:spacing w:line="480" w:lineRule="exact"/>
        <w:rPr>
          <w:rFonts w:hint="eastAsia" w:ascii="宋体" w:hAnsi="宋体" w:eastAsia="宋体" w:cs="宋体"/>
          <w:color w:val="auto"/>
          <w:szCs w:val="21"/>
          <w:highlight w:val="none"/>
        </w:rPr>
      </w:pPr>
      <w:bookmarkStart w:id="882" w:name="_Toc267251461"/>
      <w:bookmarkStart w:id="883" w:name="_Toc292559916"/>
      <w:bookmarkStart w:id="884" w:name="_Toc292559411"/>
      <w:bookmarkStart w:id="885" w:name="_Toc296503206"/>
      <w:bookmarkStart w:id="886" w:name="_Toc296944545"/>
      <w:bookmarkStart w:id="887" w:name="_Toc296346707"/>
      <w:bookmarkStart w:id="888" w:name="_Toc297048392"/>
      <w:bookmarkStart w:id="889" w:name="_Toc296347205"/>
      <w:bookmarkStart w:id="890" w:name="_Toc296891246"/>
      <w:bookmarkStart w:id="891" w:name="_Toc297120506"/>
      <w:bookmarkStart w:id="892" w:name="_Toc296891034"/>
      <w:bookmarkStart w:id="893" w:name="_Toc312678041"/>
      <w:bookmarkStart w:id="894" w:name="_Toc297123553"/>
      <w:bookmarkStart w:id="895" w:name="_Toc300935003"/>
      <w:bookmarkStart w:id="896" w:name="_Toc303539160"/>
      <w:bookmarkStart w:id="897" w:name="_Toc304295580"/>
      <w:bookmarkStart w:id="898" w:name="_Toc297216212"/>
      <w:r>
        <w:rPr>
          <w:rFonts w:hint="eastAsia" w:ascii="宋体" w:hAnsi="宋体" w:eastAsia="宋体" w:cs="宋体"/>
          <w:color w:val="auto"/>
          <w:szCs w:val="21"/>
          <w:highlight w:val="none"/>
        </w:rPr>
        <w:t>12.1 合</w:t>
      </w:r>
      <w:bookmarkEnd w:id="882"/>
      <w:bookmarkEnd w:id="883"/>
      <w:bookmarkEnd w:id="884"/>
      <w:r>
        <w:rPr>
          <w:rFonts w:hint="eastAsia" w:ascii="宋体" w:hAnsi="宋体" w:eastAsia="宋体" w:cs="宋体"/>
          <w:color w:val="auto"/>
          <w:szCs w:val="21"/>
          <w:highlight w:val="none"/>
        </w:rPr>
        <w:t>同价</w:t>
      </w:r>
      <w:bookmarkEnd w:id="885"/>
      <w:bookmarkEnd w:id="886"/>
      <w:bookmarkEnd w:id="887"/>
      <w:bookmarkEnd w:id="888"/>
      <w:bookmarkEnd w:id="889"/>
      <w:bookmarkEnd w:id="890"/>
      <w:bookmarkEnd w:id="891"/>
      <w:bookmarkEnd w:id="892"/>
      <w:r>
        <w:rPr>
          <w:rFonts w:hint="eastAsia" w:ascii="宋体" w:hAnsi="宋体" w:eastAsia="宋体" w:cs="宋体"/>
          <w:color w:val="auto"/>
          <w:szCs w:val="21"/>
          <w:highlight w:val="none"/>
        </w:rPr>
        <w:t>格形式</w:t>
      </w:r>
    </w:p>
    <w:bookmarkEnd w:id="893"/>
    <w:bookmarkEnd w:id="894"/>
    <w:bookmarkEnd w:id="895"/>
    <w:bookmarkEnd w:id="896"/>
    <w:bookmarkEnd w:id="897"/>
    <w:bookmarkEnd w:id="898"/>
    <w:p w14:paraId="6EF0B46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1、单价合同。</w:t>
      </w:r>
    </w:p>
    <w:p w14:paraId="3C8B3BD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综合单价包含的风险范围：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B639E8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风险费用的计算方法：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109112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风险范围以外合同价格的调整方法：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150C0F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2、总价合同。</w:t>
      </w:r>
    </w:p>
    <w:p w14:paraId="7C4579B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总价包含的风险范围：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A6D61F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风险费用的计算方法：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A2C6B7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风险范围以外合同价格的调整方法：</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632C9D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3、其他价格方式：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F7614EB">
      <w:pPr>
        <w:spacing w:line="480" w:lineRule="exact"/>
        <w:rPr>
          <w:rFonts w:hint="eastAsia" w:ascii="宋体" w:hAnsi="宋体" w:eastAsia="宋体" w:cs="宋体"/>
          <w:color w:val="auto"/>
          <w:szCs w:val="21"/>
          <w:highlight w:val="none"/>
        </w:rPr>
      </w:pPr>
      <w:bookmarkStart w:id="899" w:name="_Toc297123554"/>
      <w:bookmarkStart w:id="900" w:name="_Toc304295581"/>
      <w:bookmarkStart w:id="901" w:name="_Toc303539161"/>
      <w:bookmarkStart w:id="902" w:name="_Toc312678042"/>
      <w:bookmarkStart w:id="903" w:name="_Toc300935004"/>
      <w:bookmarkStart w:id="904" w:name="_Toc297216213"/>
      <w:bookmarkStart w:id="905" w:name="_Toc292559917"/>
      <w:bookmarkStart w:id="906" w:name="_Toc296503207"/>
      <w:bookmarkStart w:id="907" w:name="_Toc297120507"/>
      <w:bookmarkStart w:id="908" w:name="_Toc296347206"/>
      <w:bookmarkStart w:id="909" w:name="_Toc297048393"/>
      <w:bookmarkStart w:id="910" w:name="_Toc296944546"/>
      <w:bookmarkStart w:id="911" w:name="_Toc296346708"/>
      <w:bookmarkStart w:id="912" w:name="_Toc296891247"/>
      <w:bookmarkStart w:id="913" w:name="_Toc296891035"/>
      <w:bookmarkStart w:id="914" w:name="_Toc292559412"/>
      <w:r>
        <w:rPr>
          <w:rFonts w:hint="eastAsia" w:ascii="宋体" w:hAnsi="宋体" w:eastAsia="宋体" w:cs="宋体"/>
          <w:color w:val="auto"/>
          <w:szCs w:val="21"/>
          <w:highlight w:val="none"/>
        </w:rPr>
        <w:t>12.2 预付款</w:t>
      </w:r>
    </w:p>
    <w:bookmarkEnd w:id="899"/>
    <w:bookmarkEnd w:id="900"/>
    <w:bookmarkEnd w:id="901"/>
    <w:bookmarkEnd w:id="902"/>
    <w:bookmarkEnd w:id="903"/>
    <w:bookmarkEnd w:id="904"/>
    <w:p w14:paraId="44D766A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12.2.1 预付款的支付</w:t>
      </w:r>
    </w:p>
    <w:p w14:paraId="496C102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预付款支付比例或金额：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6188316">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预付款支付期限：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84D239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预付款扣回的方式：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E4DBCF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12.2.2 预付款担保</w:t>
      </w:r>
    </w:p>
    <w:p w14:paraId="284190A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承包人提交预付款担保的期限：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C8E4F7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预付款担保的形式为：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905"/>
    <w:bookmarkEnd w:id="906"/>
    <w:bookmarkEnd w:id="907"/>
    <w:bookmarkEnd w:id="908"/>
    <w:bookmarkEnd w:id="909"/>
    <w:bookmarkEnd w:id="910"/>
    <w:bookmarkEnd w:id="911"/>
    <w:bookmarkEnd w:id="912"/>
    <w:bookmarkEnd w:id="913"/>
    <w:bookmarkEnd w:id="914"/>
    <w:p w14:paraId="65C7445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 计量</w:t>
      </w:r>
    </w:p>
    <w:p w14:paraId="7F3835D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12.3.1 计量原则</w:t>
      </w:r>
    </w:p>
    <w:p w14:paraId="025862C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工程量计算规则：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AE12AD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12.3.2 计量周期</w:t>
      </w:r>
    </w:p>
    <w:p w14:paraId="24A5152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关于计量周期的约定：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73454E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12.3.3 单价合同的计量</w:t>
      </w:r>
    </w:p>
    <w:p w14:paraId="6812124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关于单价合同计量的约定：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CF272C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12.3.4 总价合同的计量</w:t>
      </w:r>
    </w:p>
    <w:p w14:paraId="4340C27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关于总价合同计量的约定：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089A2F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12.3.5总价合同采用支付分解表计量支付的，是否适用第</w:t>
      </w:r>
      <w:r>
        <w:rPr>
          <w:rFonts w:hint="eastAsia" w:ascii="宋体" w:hAnsi="宋体" w:eastAsia="宋体" w:cs="宋体"/>
          <w:color w:val="auto"/>
          <w:kern w:val="0"/>
          <w:szCs w:val="21"/>
          <w:highlight w:val="none"/>
        </w:rPr>
        <w:t xml:space="preserve">12.3.4 </w:t>
      </w:r>
      <w:r>
        <w:rPr>
          <w:rFonts w:hint="eastAsia" w:ascii="宋体" w:hAnsi="宋体" w:eastAsia="宋体" w:cs="宋体"/>
          <w:color w:val="auto"/>
          <w:szCs w:val="21"/>
          <w:highlight w:val="none"/>
        </w:rPr>
        <w:t>项</w:t>
      </w:r>
      <w:r>
        <w:rPr>
          <w:rFonts w:hint="eastAsia" w:ascii="宋体" w:hAnsi="宋体" w:eastAsia="宋体" w:cs="宋体"/>
          <w:color w:val="auto"/>
          <w:kern w:val="0"/>
          <w:szCs w:val="21"/>
          <w:highlight w:val="none"/>
        </w:rPr>
        <w:t>〔总价合同的计量〕</w:t>
      </w:r>
      <w:r>
        <w:rPr>
          <w:rFonts w:hint="eastAsia" w:ascii="宋体" w:hAnsi="宋体" w:eastAsia="宋体" w:cs="宋体"/>
          <w:color w:val="auto"/>
          <w:szCs w:val="21"/>
          <w:highlight w:val="none"/>
        </w:rPr>
        <w:t>约定进行计量：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9D0DEA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12.3.6 其他价格形式合同的计量</w:t>
      </w:r>
    </w:p>
    <w:p w14:paraId="621969A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其他价格形式的计量方式和程序：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CC4F49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 工程进度款支付</w:t>
      </w:r>
    </w:p>
    <w:p w14:paraId="25D212C1">
      <w:pPr>
        <w:spacing w:line="480" w:lineRule="exact"/>
        <w:rPr>
          <w:rFonts w:hint="eastAsia" w:ascii="宋体" w:hAnsi="宋体" w:eastAsia="宋体" w:cs="宋体"/>
          <w:color w:val="auto"/>
          <w:szCs w:val="21"/>
          <w:highlight w:val="none"/>
        </w:rPr>
      </w:pPr>
      <w:bookmarkStart w:id="915" w:name="_Toc296503211"/>
      <w:bookmarkStart w:id="916" w:name="_Toc292559921"/>
      <w:bookmarkStart w:id="917" w:name="_Toc296347210"/>
      <w:bookmarkStart w:id="918" w:name="_Toc300935006"/>
      <w:bookmarkStart w:id="919" w:name="_Toc296891039"/>
      <w:bookmarkStart w:id="920" w:name="_Toc297216215"/>
      <w:bookmarkStart w:id="921" w:name="_Toc296891251"/>
      <w:bookmarkStart w:id="922" w:name="_Toc296346712"/>
      <w:bookmarkStart w:id="923" w:name="_Toc303539163"/>
      <w:bookmarkStart w:id="924" w:name="_Toc292559416"/>
      <w:bookmarkStart w:id="925" w:name="_Toc297120511"/>
      <w:bookmarkStart w:id="926" w:name="_Toc297048397"/>
      <w:bookmarkStart w:id="927" w:name="_Toc297123556"/>
      <w:bookmarkStart w:id="928" w:name="_Toc296944550"/>
      <w:r>
        <w:rPr>
          <w:rFonts w:hint="eastAsia" w:ascii="宋体" w:hAnsi="宋体" w:eastAsia="宋体" w:cs="宋体"/>
          <w:color w:val="auto"/>
          <w:szCs w:val="21"/>
          <w:highlight w:val="none"/>
        </w:rPr>
        <w:t>12.4.1 付款周期</w:t>
      </w:r>
    </w:p>
    <w:p w14:paraId="50D21DC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关于付款周期的约定：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44FE8E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12.4.2 进度付款申请单的编制</w:t>
      </w:r>
    </w:p>
    <w:p w14:paraId="6D2F26F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关于进度付款申请单编制的约定：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DA7FA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r>
        <w:rPr>
          <w:rFonts w:hint="eastAsia" w:ascii="宋体" w:hAnsi="宋体" w:eastAsia="宋体" w:cs="宋体"/>
          <w:color w:val="auto"/>
          <w:szCs w:val="21"/>
          <w:highlight w:val="none"/>
        </w:rPr>
        <w:t>2.4.3 进度付款申请单的提交</w:t>
      </w:r>
    </w:p>
    <w:p w14:paraId="1DE5BF9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（1）单价合同进度付款申请单提交的约定：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E2A317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（2）总价合同进度付款申请单提交的约定：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0926A9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（3）其他价格形式合同进度付款申请单提交的约定：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B2D7E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12.4.4 进度款审核和支付</w:t>
      </w:r>
    </w:p>
    <w:p w14:paraId="1F98AD69">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（1）监理人审查并报送发包人的期限：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2429D0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发包人完成审批并签发进度款支付证书的期限：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0B0DE5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（2）发包人支付进度款的期限：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7AF926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发包人逾期支付进度款的违约金的计算方式：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F85EA1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12.4.6 支付分解表的编制</w:t>
      </w:r>
    </w:p>
    <w:p w14:paraId="5A6EA0E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2、总价合同支付分解表的编制与审批：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6EFF83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3、单价合同的总价项目支付分解表的编制与审批：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754"/>
    <w:p w14:paraId="6613C49E">
      <w:pPr>
        <w:spacing w:line="480" w:lineRule="exact"/>
        <w:rPr>
          <w:rFonts w:hint="eastAsia" w:ascii="宋体" w:hAnsi="宋体" w:eastAsia="宋体" w:cs="宋体"/>
          <w:color w:val="auto"/>
          <w:szCs w:val="21"/>
          <w:highlight w:val="none"/>
        </w:rPr>
      </w:pPr>
      <w:bookmarkStart w:id="929" w:name="_Toc351203645"/>
      <w:bookmarkStart w:id="930" w:name="_Toc292559929"/>
      <w:bookmarkStart w:id="931" w:name="_Toc292559424"/>
      <w:bookmarkStart w:id="932" w:name="_Toc296347218"/>
      <w:bookmarkStart w:id="933" w:name="_Toc312678053"/>
      <w:bookmarkStart w:id="934" w:name="_Toc297120519"/>
      <w:bookmarkStart w:id="935" w:name="_Toc300935015"/>
      <w:bookmarkStart w:id="936" w:name="_Toc296891047"/>
      <w:bookmarkStart w:id="937" w:name="_Toc296346720"/>
      <w:bookmarkStart w:id="938" w:name="_Toc296944558"/>
      <w:bookmarkStart w:id="939" w:name="_Toc304295593"/>
      <w:bookmarkStart w:id="940" w:name="_Toc303539172"/>
      <w:bookmarkStart w:id="941" w:name="_Toc297048405"/>
      <w:bookmarkStart w:id="942" w:name="_Toc297216223"/>
      <w:bookmarkStart w:id="943" w:name="_Toc297123564"/>
      <w:bookmarkStart w:id="944" w:name="_Toc296503219"/>
      <w:bookmarkStart w:id="945" w:name="_Toc296891259"/>
      <w:r>
        <w:rPr>
          <w:rFonts w:hint="eastAsia" w:ascii="宋体" w:hAnsi="宋体" w:eastAsia="宋体" w:cs="宋体"/>
          <w:color w:val="auto"/>
          <w:szCs w:val="21"/>
          <w:highlight w:val="none"/>
        </w:rPr>
        <w:t>13. 验收和工程试车</w:t>
      </w:r>
      <w:bookmarkEnd w:id="929"/>
    </w:p>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14:paraId="16273C1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 分部分项工程验收</w:t>
      </w:r>
    </w:p>
    <w:p w14:paraId="7B16980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13.1.2监理人不能按时进行验收时，应提前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小时提交书面延期要求。</w:t>
      </w:r>
    </w:p>
    <w:p w14:paraId="6868E23D">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关于延期最长不得超过：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小时。</w:t>
      </w:r>
    </w:p>
    <w:p w14:paraId="577C3CE9">
      <w:pPr>
        <w:spacing w:line="480" w:lineRule="exact"/>
        <w:rPr>
          <w:rFonts w:hint="eastAsia" w:ascii="宋体" w:hAnsi="宋体" w:eastAsia="宋体" w:cs="宋体"/>
          <w:color w:val="auto"/>
          <w:szCs w:val="21"/>
          <w:highlight w:val="none"/>
        </w:rPr>
      </w:pPr>
      <w:bookmarkStart w:id="946" w:name="_Toc304295596"/>
      <w:bookmarkStart w:id="947" w:name="_Toc297123565"/>
      <w:bookmarkStart w:id="948" w:name="_Toc296891051"/>
      <w:bookmarkStart w:id="949" w:name="_Toc303539173"/>
      <w:bookmarkStart w:id="950" w:name="_Toc296347222"/>
      <w:bookmarkStart w:id="951" w:name="_Toc292559933"/>
      <w:bookmarkStart w:id="952" w:name="_Toc296346724"/>
      <w:bookmarkStart w:id="953" w:name="_Toc297216224"/>
      <w:bookmarkStart w:id="954" w:name="_Toc312678056"/>
      <w:bookmarkStart w:id="955" w:name="_Toc297048409"/>
      <w:bookmarkStart w:id="956" w:name="_Toc292559428"/>
      <w:bookmarkStart w:id="957" w:name="_Toc297120523"/>
      <w:bookmarkStart w:id="958" w:name="_Toc296944562"/>
      <w:bookmarkStart w:id="959" w:name="_Toc296891263"/>
      <w:bookmarkStart w:id="960" w:name="_Toc300935016"/>
      <w:bookmarkStart w:id="961" w:name="_Toc296503223"/>
      <w:bookmarkStart w:id="962" w:name="_Toc267251473"/>
      <w:bookmarkStart w:id="963" w:name="_Toc267251471"/>
      <w:bookmarkStart w:id="964" w:name="_Toc267251474"/>
      <w:bookmarkStart w:id="965" w:name="_Toc267251476"/>
      <w:bookmarkStart w:id="966" w:name="_Toc267251472"/>
      <w:bookmarkStart w:id="967" w:name="_Toc267251475"/>
      <w:bookmarkStart w:id="968" w:name="_Toc267251470"/>
      <w:r>
        <w:rPr>
          <w:rFonts w:hint="eastAsia" w:ascii="宋体" w:hAnsi="宋体" w:eastAsia="宋体" w:cs="宋体"/>
          <w:color w:val="auto"/>
          <w:szCs w:val="21"/>
          <w:highlight w:val="none"/>
        </w:rPr>
        <w:t>13.2 竣工验收</w:t>
      </w:r>
    </w:p>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14:paraId="45FD88D0">
      <w:pPr>
        <w:spacing w:line="480" w:lineRule="exact"/>
        <w:rPr>
          <w:rFonts w:hint="eastAsia" w:ascii="宋体" w:hAnsi="宋体" w:eastAsia="宋体" w:cs="宋体"/>
          <w:color w:val="auto"/>
          <w:szCs w:val="21"/>
          <w:highlight w:val="none"/>
        </w:rPr>
      </w:pPr>
      <w:bookmarkStart w:id="969" w:name="_Toc280868704"/>
      <w:bookmarkStart w:id="970" w:name="_Toc280868705"/>
      <w:bookmarkStart w:id="971" w:name="_Toc280868706"/>
      <w:bookmarkStart w:id="972" w:name="_Toc280868707"/>
      <w:bookmarkStart w:id="973" w:name="_Toc280868708"/>
      <w:bookmarkStart w:id="974" w:name="_Toc280868709"/>
      <w:r>
        <w:rPr>
          <w:rFonts w:hint="eastAsia" w:ascii="宋体" w:hAnsi="宋体" w:eastAsia="宋体" w:cs="宋体"/>
          <w:color w:val="auto"/>
          <w:szCs w:val="21"/>
          <w:highlight w:val="none"/>
        </w:rPr>
        <w:t>13.2.2竣工验收程序</w:t>
      </w:r>
    </w:p>
    <w:bookmarkEnd w:id="969"/>
    <w:p w14:paraId="3399EC5C">
      <w:pPr>
        <w:spacing w:line="48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关于竣工验收程序的约定：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51F417A">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发包人不按照本项约定组织竣工验收、颁发工程接收证书的违约金的计算方法：</w:t>
      </w:r>
      <w:r>
        <w:rPr>
          <w:rFonts w:hint="eastAsia" w:ascii="宋体" w:hAnsi="宋体" w:eastAsia="宋体" w:cs="宋体"/>
          <w:color w:val="auto"/>
          <w:szCs w:val="21"/>
          <w:highlight w:val="none"/>
          <w:u w:val="single"/>
        </w:rPr>
        <w:t xml:space="preserve">                                         </w:t>
      </w:r>
    </w:p>
    <w:p w14:paraId="6E302CD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970"/>
    <w:p w14:paraId="7CD2C58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13.2.5移交、接收全部与部分工程</w:t>
      </w:r>
    </w:p>
    <w:bookmarkEnd w:id="971"/>
    <w:p w14:paraId="6A07D667">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承包人向发包人移交工程的期限：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5F83DEA">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kern w:val="0"/>
          <w:szCs w:val="21"/>
          <w:highlight w:val="none"/>
        </w:rPr>
        <w:t>发包人未按本合同约定接收全部或部分工程的，违约金的计算方法为：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972"/>
    <w:p w14:paraId="5CCAC28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承包人未按时移交工程的，违约金的计算方法为：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E329E9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13.3 工程试车</w:t>
      </w:r>
    </w:p>
    <w:bookmarkEnd w:id="973"/>
    <w:p w14:paraId="2086AEDB">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试车程序</w:t>
      </w:r>
    </w:p>
    <w:p w14:paraId="2E6FD66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工程试车内容：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0BE751D">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（1）单机无负荷试车费用由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承担；</w:t>
      </w:r>
    </w:p>
    <w:p w14:paraId="314E2FD6">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（2）无负荷联动试车费用由</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承担。</w:t>
      </w:r>
    </w:p>
    <w:p w14:paraId="517EBDB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投料试车</w:t>
      </w:r>
    </w:p>
    <w:p w14:paraId="4463F9C6">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关于投料试车相关事项的约定：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48DEFD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 竣工退场</w:t>
      </w:r>
    </w:p>
    <w:p w14:paraId="5D56C011">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13.6.1 竣工退场</w:t>
      </w:r>
    </w:p>
    <w:p w14:paraId="4249833C">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承包人完成竣工退场的期限：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p>
    <w:p w14:paraId="326F4609">
      <w:pPr>
        <w:spacing w:line="480" w:lineRule="exact"/>
        <w:rPr>
          <w:rFonts w:hint="eastAsia" w:ascii="宋体" w:hAnsi="宋体" w:eastAsia="宋体" w:cs="宋体"/>
          <w:color w:val="auto"/>
          <w:szCs w:val="21"/>
          <w:highlight w:val="none"/>
        </w:rPr>
      </w:pPr>
      <w:bookmarkStart w:id="975" w:name="_Toc351203646"/>
      <w:r>
        <w:rPr>
          <w:rFonts w:hint="eastAsia" w:ascii="宋体" w:hAnsi="宋体" w:eastAsia="宋体" w:cs="宋体"/>
          <w:color w:val="auto"/>
          <w:szCs w:val="21"/>
          <w:highlight w:val="none"/>
        </w:rPr>
        <w:t>14. 竣工结算</w:t>
      </w:r>
      <w:bookmarkEnd w:id="975"/>
    </w:p>
    <w:p w14:paraId="7B70FD1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 竣工结算申请</w:t>
      </w:r>
    </w:p>
    <w:p w14:paraId="217DE74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承包人提交竣工结算申请单的期限：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20F052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竣工结算申请单应包括的内容：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D1A5A3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 竣工结算审核</w:t>
      </w:r>
    </w:p>
    <w:p w14:paraId="51B668D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发包人审批竣工付款申请单的期限：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7887E8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发包人完成竣工付款的期限：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0B1887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关于竣工付款证书异议部分复核的方式和程序：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2A4F5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 最终结清</w:t>
      </w:r>
    </w:p>
    <w:p w14:paraId="4072537B">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14.4.1 最终结清申请单</w:t>
      </w:r>
    </w:p>
    <w:p w14:paraId="6B03588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承包人提交最终结清申请单的份数：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376A417">
      <w:pPr>
        <w:spacing w:line="48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承包人提交最终结算申请单的期限：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2A373A1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14.4.2 最终结清证书和支付</w:t>
      </w:r>
    </w:p>
    <w:p w14:paraId="091C767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（1）发包人完成最终结清申请单的审批并颁发最终结清证书的期限：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D8565D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（2）发包人完成支付的期限：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962"/>
    <w:bookmarkEnd w:id="963"/>
    <w:bookmarkEnd w:id="964"/>
    <w:bookmarkEnd w:id="965"/>
    <w:bookmarkEnd w:id="966"/>
    <w:bookmarkEnd w:id="967"/>
    <w:bookmarkEnd w:id="968"/>
    <w:bookmarkEnd w:id="974"/>
    <w:p w14:paraId="2FF07433">
      <w:pPr>
        <w:spacing w:line="480" w:lineRule="exact"/>
        <w:rPr>
          <w:rFonts w:hint="eastAsia" w:ascii="宋体" w:hAnsi="宋体" w:eastAsia="宋体" w:cs="宋体"/>
          <w:color w:val="auto"/>
          <w:szCs w:val="21"/>
          <w:highlight w:val="none"/>
        </w:rPr>
      </w:pPr>
      <w:bookmarkStart w:id="976" w:name="_Toc351203647"/>
      <w:bookmarkStart w:id="977" w:name="_Toc267251483"/>
      <w:bookmarkStart w:id="978" w:name="_Toc267251482"/>
      <w:bookmarkStart w:id="979" w:name="_Toc267251484"/>
      <w:bookmarkStart w:id="980" w:name="_Toc267251485"/>
      <w:bookmarkStart w:id="981" w:name="_Toc267251488"/>
      <w:bookmarkStart w:id="982" w:name="_Toc267251489"/>
      <w:bookmarkStart w:id="983" w:name="_Toc267251486"/>
      <w:bookmarkStart w:id="984" w:name="_Toc267251490"/>
      <w:bookmarkStart w:id="985" w:name="_Toc267251501"/>
      <w:bookmarkStart w:id="986" w:name="_Toc267251492"/>
      <w:bookmarkStart w:id="987" w:name="_Toc267251493"/>
      <w:bookmarkStart w:id="988" w:name="_Toc267251494"/>
      <w:bookmarkStart w:id="989" w:name="_Toc267251499"/>
      <w:bookmarkStart w:id="990" w:name="_Toc267251497"/>
      <w:bookmarkStart w:id="991" w:name="_Toc267251491"/>
      <w:bookmarkStart w:id="992" w:name="_Toc267251503"/>
      <w:bookmarkStart w:id="993" w:name="_Toc267251496"/>
      <w:bookmarkStart w:id="994" w:name="_Toc267251498"/>
      <w:bookmarkStart w:id="995" w:name="_Toc267251502"/>
      <w:bookmarkStart w:id="996" w:name="_Toc267251495"/>
      <w:bookmarkStart w:id="997" w:name="_Toc267251504"/>
      <w:bookmarkStart w:id="998" w:name="_Toc267251506"/>
      <w:bookmarkStart w:id="999" w:name="_Toc267251507"/>
      <w:bookmarkStart w:id="1000" w:name="_Toc267251508"/>
      <w:bookmarkStart w:id="1001" w:name="_Toc267251511"/>
      <w:bookmarkStart w:id="1002" w:name="_Toc267251514"/>
      <w:bookmarkStart w:id="1003" w:name="_Toc267251513"/>
      <w:bookmarkStart w:id="1004" w:name="_Toc267251510"/>
      <w:bookmarkStart w:id="1005" w:name="_Toc267251509"/>
      <w:bookmarkStart w:id="1006" w:name="_Toc267251515"/>
      <w:r>
        <w:rPr>
          <w:rFonts w:hint="eastAsia" w:ascii="宋体" w:hAnsi="宋体" w:eastAsia="宋体" w:cs="宋体"/>
          <w:color w:val="auto"/>
          <w:szCs w:val="21"/>
          <w:highlight w:val="none"/>
        </w:rPr>
        <w:t>15. 缺陷责任期与保修</w:t>
      </w:r>
      <w:bookmarkEnd w:id="976"/>
    </w:p>
    <w:p w14:paraId="4E7111B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15.2缺陷责任期</w:t>
      </w:r>
      <w:bookmarkEnd w:id="977"/>
    </w:p>
    <w:p w14:paraId="5BBF2C9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缺陷责任期的具体期限：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6AE6E90">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 质量保证金</w:t>
      </w:r>
    </w:p>
    <w:p w14:paraId="14D3C79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关于是否扣留质量保证金的约定：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。在工程项目竣工前，承包人按专用合同条款第3.7条提供履约担保的，发包人不得同时预留工程质量保证金。</w:t>
      </w:r>
    </w:p>
    <w:p w14:paraId="398261A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15.3.1 承包人提供质量保证金的方式</w:t>
      </w:r>
    </w:p>
    <w:p w14:paraId="22862693">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质量保证金采用以下第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w:t>
      </w:r>
    </w:p>
    <w:p w14:paraId="2DCAECE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（1）质量保证金保函，保证金额为：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138DFD8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%的工程款；</w:t>
      </w:r>
    </w:p>
    <w:p w14:paraId="5F03A0E8">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702D314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15.3.2 质量保证金的扣留 </w:t>
      </w:r>
    </w:p>
    <w:p w14:paraId="7A59B757">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质量保证金的扣留采取以下第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w:t>
      </w:r>
    </w:p>
    <w:p w14:paraId="5332A35A">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（1）在支付工程进度款时逐次扣留，在此情形下，质量保证金的计算基数不包括预付款的支付、扣回以及价格调整的金额；</w:t>
      </w:r>
    </w:p>
    <w:p w14:paraId="02FAFB60">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（2）工程竣工结算时一次性扣留质量保证金；</w:t>
      </w:r>
    </w:p>
    <w:p w14:paraId="316B79DF">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（3）其他扣留方式: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09FC5BA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关于质量保证金的补充约定：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bookmarkEnd w:id="978"/>
    <w:bookmarkEnd w:id="979"/>
    <w:p w14:paraId="03A5E47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15.4保修</w:t>
      </w:r>
    </w:p>
    <w:bookmarkEnd w:id="980"/>
    <w:p w14:paraId="684CA07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15.4.1 保修责任</w:t>
      </w:r>
    </w:p>
    <w:p w14:paraId="1E4EA2F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工程保修期为：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3AD5191F">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15.4.3 修复通知</w:t>
      </w:r>
    </w:p>
    <w:p w14:paraId="123F724D">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承包人收到保修通知并到达工程现场的合理时间：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bookmarkEnd w:id="981"/>
    <w:bookmarkEnd w:id="982"/>
    <w:bookmarkEnd w:id="983"/>
    <w:bookmarkEnd w:id="984"/>
    <w:p w14:paraId="142E1AD7">
      <w:pPr>
        <w:spacing w:line="480" w:lineRule="exact"/>
        <w:rPr>
          <w:rFonts w:hint="eastAsia" w:ascii="宋体" w:hAnsi="宋体" w:eastAsia="宋体" w:cs="宋体"/>
          <w:color w:val="auto"/>
          <w:szCs w:val="21"/>
          <w:highlight w:val="none"/>
        </w:rPr>
      </w:pPr>
      <w:bookmarkStart w:id="1007" w:name="_Toc351203648"/>
      <w:bookmarkStart w:id="1008" w:name="_Toc280868717"/>
      <w:bookmarkStart w:id="1009" w:name="_Toc280868718"/>
      <w:r>
        <w:rPr>
          <w:rFonts w:hint="eastAsia" w:ascii="宋体" w:hAnsi="宋体" w:eastAsia="宋体" w:cs="宋体"/>
          <w:color w:val="auto"/>
          <w:szCs w:val="21"/>
          <w:highlight w:val="none"/>
        </w:rPr>
        <w:t>16. 违约</w:t>
      </w:r>
      <w:bookmarkEnd w:id="1007"/>
    </w:p>
    <w:p w14:paraId="505D22F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发包人违约</w:t>
      </w:r>
    </w:p>
    <w:p w14:paraId="72D2A63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16.1.1发包人违约的情形</w:t>
      </w:r>
    </w:p>
    <w:p w14:paraId="46DC0F3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7FB5E11A">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16.1.2 发包人违约的责任</w:t>
      </w:r>
    </w:p>
    <w:p w14:paraId="48C1947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发包人违约责任的承担方式和计算方法：</w:t>
      </w:r>
    </w:p>
    <w:p w14:paraId="3137F449">
      <w:pPr>
        <w:spacing w:line="48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（1）因发包人原因未能在计划开工日期前7天内下达开工通知的违约责任：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4DC3D5F">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（2）因发包人原因未能按合同约定支付合同价款的违约责任：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2D3519E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（3）发包人违反第10.1款〔变更的范围〕第（2）项约定，自行实施被取消的工作或转由他人实施的违约责任：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5D07386B">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CB4020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（5）因发包人违反合同约定造成暂停施工的违约责任：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46F0DCD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（6）发包人无正当理由没有在约定期限内发出复工指示，导致承包人无法复工的违约责任：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071ABA80">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549518F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16.1.3 因发包人违约解除合同</w:t>
      </w:r>
    </w:p>
    <w:p w14:paraId="1974629F">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承包人按16.1.1项〔发包人违约的情形〕约定暂停施工满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天后发包人仍不纠正其违约行为并致使合同目的不能实现的，承包人有权解除合同。</w:t>
      </w:r>
    </w:p>
    <w:p w14:paraId="6EEC823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承包人违约</w:t>
      </w:r>
    </w:p>
    <w:p w14:paraId="29D5B631">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16.2.1 承包人违约的情形</w:t>
      </w:r>
    </w:p>
    <w:p w14:paraId="4CE1D524">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承包人违约的其他情形：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0491879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16.2.2承包人违约的责任</w:t>
      </w:r>
    </w:p>
    <w:p w14:paraId="7B3CF6F7">
      <w:pPr>
        <w:spacing w:line="48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承包人违约责任的承担方式和计算方法：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p>
    <w:p w14:paraId="53D4345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16.2.3 因承包人违约解除合同</w:t>
      </w:r>
    </w:p>
    <w:p w14:paraId="72264A49">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关于承包人违约解除合同的特别约定：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44DA8C25">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4802019D">
      <w:pPr>
        <w:spacing w:line="480" w:lineRule="exact"/>
        <w:rPr>
          <w:rFonts w:hint="eastAsia" w:ascii="宋体" w:hAnsi="宋体" w:eastAsia="宋体" w:cs="宋体"/>
          <w:color w:val="auto"/>
          <w:szCs w:val="21"/>
          <w:highlight w:val="none"/>
        </w:rPr>
      </w:pPr>
      <w:bookmarkStart w:id="1010" w:name="_Toc351203649"/>
      <w:r>
        <w:rPr>
          <w:rFonts w:hint="eastAsia" w:ascii="宋体" w:hAnsi="宋体" w:eastAsia="宋体" w:cs="宋体"/>
          <w:color w:val="auto"/>
          <w:szCs w:val="21"/>
          <w:highlight w:val="none"/>
        </w:rPr>
        <w:t>17. 不可抗力</w:t>
      </w:r>
      <w:bookmarkEnd w:id="1010"/>
      <w:r>
        <w:rPr>
          <w:rFonts w:hint="eastAsia" w:ascii="宋体" w:hAnsi="宋体" w:eastAsia="宋体" w:cs="宋体"/>
          <w:color w:val="auto"/>
          <w:szCs w:val="21"/>
          <w:highlight w:val="none"/>
        </w:rPr>
        <w:t xml:space="preserve"> </w:t>
      </w:r>
      <w:bookmarkEnd w:id="1008"/>
    </w:p>
    <w:p w14:paraId="6940BAA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 不可抗力的确认</w:t>
      </w:r>
    </w:p>
    <w:p w14:paraId="397D47EA">
      <w:pPr>
        <w:spacing w:line="480" w:lineRule="exac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 xml:space="preserve">除通用合同条款约定的不可抗力事件之外，视为不可抗力的其他情形：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6E731ACC">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 因不可抗力解除合同</w:t>
      </w:r>
    </w:p>
    <w:p w14:paraId="4AFFF26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合同解除后，发包人应在商定或确定发包人应支付款项后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天内完成款项的支付。</w:t>
      </w:r>
    </w:p>
    <w:p w14:paraId="6775AA24">
      <w:pPr>
        <w:spacing w:line="480" w:lineRule="exact"/>
        <w:rPr>
          <w:rFonts w:hint="eastAsia" w:ascii="宋体" w:hAnsi="宋体" w:eastAsia="宋体" w:cs="宋体"/>
          <w:color w:val="auto"/>
          <w:szCs w:val="21"/>
          <w:highlight w:val="none"/>
        </w:rPr>
      </w:pPr>
      <w:bookmarkStart w:id="1011" w:name="_Toc351203650"/>
      <w:r>
        <w:rPr>
          <w:rFonts w:hint="eastAsia" w:ascii="宋体" w:hAnsi="宋体" w:eastAsia="宋体" w:cs="宋体"/>
          <w:color w:val="auto"/>
          <w:szCs w:val="21"/>
          <w:highlight w:val="none"/>
        </w:rPr>
        <w:t>18. 保险</w:t>
      </w:r>
      <w:bookmarkEnd w:id="1011"/>
    </w:p>
    <w:bookmarkEnd w:id="1009"/>
    <w:p w14:paraId="3E7C234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 工程保险</w:t>
      </w:r>
    </w:p>
    <w:p w14:paraId="0C6E20A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关于工程保险的特别约定：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30F3799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 其他保险</w:t>
      </w:r>
    </w:p>
    <w:p w14:paraId="5D99D53C">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关于其他保险的约定：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17D0E63B">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承包人是否应为其施工设备等办理财产保险：</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6037A0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18.7 通知义务</w:t>
      </w:r>
    </w:p>
    <w:p w14:paraId="6133EA24">
      <w:pPr>
        <w:spacing w:line="480" w:lineRule="exact"/>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关于变更保险合同时的通知义务的约定：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bookmarkEnd w:id="985"/>
    <w:bookmarkEnd w:id="986"/>
    <w:bookmarkEnd w:id="987"/>
    <w:bookmarkEnd w:id="988"/>
    <w:bookmarkEnd w:id="989"/>
    <w:bookmarkEnd w:id="990"/>
    <w:bookmarkEnd w:id="991"/>
    <w:bookmarkEnd w:id="992"/>
    <w:bookmarkEnd w:id="993"/>
    <w:bookmarkEnd w:id="994"/>
    <w:bookmarkEnd w:id="995"/>
    <w:bookmarkEnd w:id="996"/>
    <w:p w14:paraId="43E67FB8">
      <w:pPr>
        <w:spacing w:line="480" w:lineRule="exact"/>
        <w:rPr>
          <w:rFonts w:hint="eastAsia" w:ascii="宋体" w:hAnsi="宋体" w:eastAsia="宋体" w:cs="宋体"/>
          <w:color w:val="auto"/>
          <w:szCs w:val="21"/>
          <w:highlight w:val="none"/>
        </w:rPr>
      </w:pPr>
      <w:bookmarkStart w:id="1012" w:name="_Toc351203651"/>
      <w:r>
        <w:rPr>
          <w:rFonts w:hint="eastAsia" w:ascii="宋体" w:hAnsi="宋体" w:eastAsia="宋体" w:cs="宋体"/>
          <w:color w:val="auto"/>
          <w:szCs w:val="21"/>
          <w:highlight w:val="none"/>
        </w:rPr>
        <w:t>20. 争议解决</w:t>
      </w:r>
      <w:bookmarkEnd w:id="1012"/>
    </w:p>
    <w:bookmarkEnd w:id="997"/>
    <w:bookmarkEnd w:id="998"/>
    <w:p w14:paraId="60A4502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 争</w:t>
      </w:r>
      <w:bookmarkEnd w:id="999"/>
      <w:r>
        <w:rPr>
          <w:rFonts w:hint="eastAsia" w:ascii="宋体" w:hAnsi="宋体" w:eastAsia="宋体" w:cs="宋体"/>
          <w:color w:val="auto"/>
          <w:szCs w:val="21"/>
          <w:highlight w:val="none"/>
        </w:rPr>
        <w:t>议评审</w:t>
      </w:r>
    </w:p>
    <w:p w14:paraId="21057C4E">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合同当事人是否同意将工程争议提交争议评审小组决定：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7E4DF5A">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20.3.1 争议评审小组的确定</w:t>
      </w:r>
    </w:p>
    <w:p w14:paraId="5F029CE0">
      <w:pPr>
        <w:spacing w:line="4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争议评审小组成员的确定：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3403BF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选定争议评审员的期限：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5559788">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争议评审小组成员的报酬承担方式：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03D22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其他事项的约定：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99A4A93">
      <w:pPr>
        <w:spacing w:line="4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20.3.2 争议评审小组的决定</w:t>
      </w:r>
    </w:p>
    <w:p w14:paraId="5192EA0B">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合同当事人关于本项的约定：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DEAB06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20.4仲裁或诉讼</w:t>
      </w:r>
      <w:bookmarkEnd w:id="1000"/>
    </w:p>
    <w:p w14:paraId="0E930B82">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因合同及合同有关事项发生的争议，按下列第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种方式解决：</w:t>
      </w:r>
    </w:p>
    <w:p w14:paraId="05AF64C4">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仲裁委员会申请仲裁；</w:t>
      </w:r>
    </w:p>
    <w:p w14:paraId="58907E31">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人民法院起诉。</w:t>
      </w:r>
      <w:bookmarkEnd w:id="1001"/>
      <w:bookmarkEnd w:id="1002"/>
      <w:bookmarkEnd w:id="1003"/>
      <w:bookmarkEnd w:id="1004"/>
      <w:bookmarkEnd w:id="1005"/>
      <w:bookmarkEnd w:id="1006"/>
    </w:p>
    <w:p w14:paraId="57D7F37F">
      <w:pPr>
        <w:spacing w:line="480" w:lineRule="exact"/>
        <w:rPr>
          <w:rFonts w:hint="eastAsia" w:ascii="宋体" w:hAnsi="宋体" w:eastAsia="宋体" w:cs="宋体"/>
          <w:color w:val="auto"/>
          <w:szCs w:val="21"/>
          <w:highlight w:val="none"/>
        </w:rPr>
      </w:pPr>
    </w:p>
    <w:p w14:paraId="5D753349">
      <w:pPr>
        <w:spacing w:line="480" w:lineRule="exact"/>
        <w:rPr>
          <w:rFonts w:hint="eastAsia" w:ascii="宋体" w:hAnsi="宋体" w:eastAsia="宋体" w:cs="宋体"/>
          <w:color w:val="auto"/>
          <w:szCs w:val="21"/>
          <w:highlight w:val="none"/>
        </w:rPr>
      </w:pPr>
      <w:bookmarkStart w:id="1013" w:name="_Toc351203652"/>
      <w:r>
        <w:rPr>
          <w:rFonts w:hint="eastAsia" w:ascii="宋体" w:hAnsi="宋体" w:eastAsia="宋体" w:cs="宋体"/>
          <w:color w:val="auto"/>
          <w:szCs w:val="21"/>
          <w:highlight w:val="none"/>
        </w:rPr>
        <w:t>附件</w:t>
      </w:r>
      <w:bookmarkEnd w:id="1013"/>
    </w:p>
    <w:p w14:paraId="1B3CB2E9">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协议书附件：</w:t>
      </w:r>
    </w:p>
    <w:p w14:paraId="6712E3F8">
      <w:pPr>
        <w:spacing w:line="480" w:lineRule="exact"/>
        <w:rPr>
          <w:rFonts w:hint="eastAsia" w:ascii="宋体" w:hAnsi="宋体" w:eastAsia="宋体" w:cs="宋体"/>
          <w:color w:val="auto"/>
          <w:szCs w:val="21"/>
          <w:highlight w:val="none"/>
        </w:rPr>
      </w:pPr>
      <w:bookmarkStart w:id="1014" w:name="_Toc15451"/>
      <w:r>
        <w:rPr>
          <w:rFonts w:hint="eastAsia" w:ascii="宋体" w:hAnsi="宋体" w:eastAsia="宋体" w:cs="宋体"/>
          <w:color w:val="auto"/>
          <w:szCs w:val="21"/>
          <w:highlight w:val="none"/>
        </w:rPr>
        <w:t>附件1：承包人承揽工程项目一览表</w:t>
      </w:r>
      <w:bookmarkEnd w:id="1014"/>
    </w:p>
    <w:p w14:paraId="436B90A5">
      <w:pPr>
        <w:spacing w:line="4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专用合同条款附件：</w:t>
      </w:r>
    </w:p>
    <w:p w14:paraId="262A4182">
      <w:pPr>
        <w:spacing w:line="480" w:lineRule="exact"/>
        <w:rPr>
          <w:rFonts w:hint="eastAsia" w:ascii="宋体" w:hAnsi="宋体" w:eastAsia="宋体" w:cs="宋体"/>
          <w:color w:val="auto"/>
          <w:szCs w:val="21"/>
          <w:highlight w:val="none"/>
        </w:rPr>
      </w:pPr>
      <w:bookmarkStart w:id="1015" w:name="_Toc20351"/>
      <w:r>
        <w:rPr>
          <w:rFonts w:hint="eastAsia" w:ascii="宋体" w:hAnsi="宋体" w:eastAsia="宋体" w:cs="宋体"/>
          <w:color w:val="auto"/>
          <w:szCs w:val="21"/>
          <w:highlight w:val="none"/>
        </w:rPr>
        <w:t>附件2：发包人供应材料设备一览表</w:t>
      </w:r>
      <w:bookmarkEnd w:id="1015"/>
    </w:p>
    <w:p w14:paraId="6D5BA938">
      <w:pPr>
        <w:spacing w:line="480" w:lineRule="exact"/>
        <w:rPr>
          <w:rFonts w:hint="eastAsia" w:ascii="宋体" w:hAnsi="宋体" w:eastAsia="宋体" w:cs="宋体"/>
          <w:color w:val="auto"/>
          <w:szCs w:val="21"/>
          <w:highlight w:val="none"/>
        </w:rPr>
      </w:pPr>
      <w:bookmarkStart w:id="1016" w:name="_Toc2500"/>
      <w:r>
        <w:rPr>
          <w:rFonts w:hint="eastAsia" w:ascii="宋体" w:hAnsi="宋体" w:eastAsia="宋体" w:cs="宋体"/>
          <w:color w:val="auto"/>
          <w:szCs w:val="21"/>
          <w:highlight w:val="none"/>
        </w:rPr>
        <w:t>附件3：工程质量保修书</w:t>
      </w:r>
      <w:bookmarkEnd w:id="1016"/>
    </w:p>
    <w:p w14:paraId="5C696CA3">
      <w:pPr>
        <w:spacing w:line="480" w:lineRule="exact"/>
        <w:rPr>
          <w:rFonts w:hint="eastAsia" w:ascii="宋体" w:hAnsi="宋体" w:eastAsia="宋体" w:cs="宋体"/>
          <w:color w:val="auto"/>
          <w:szCs w:val="21"/>
          <w:highlight w:val="none"/>
        </w:rPr>
      </w:pPr>
      <w:bookmarkStart w:id="1017" w:name="_Toc3668"/>
      <w:r>
        <w:rPr>
          <w:rFonts w:hint="eastAsia" w:ascii="宋体" w:hAnsi="宋体" w:eastAsia="宋体" w:cs="宋体"/>
          <w:color w:val="auto"/>
          <w:szCs w:val="21"/>
          <w:highlight w:val="none"/>
        </w:rPr>
        <w:t>附件4：主要建设工程文件目录</w:t>
      </w:r>
      <w:bookmarkEnd w:id="1017"/>
    </w:p>
    <w:p w14:paraId="50C9448C">
      <w:pPr>
        <w:spacing w:line="480" w:lineRule="exact"/>
        <w:rPr>
          <w:rFonts w:hint="eastAsia" w:ascii="宋体" w:hAnsi="宋体" w:eastAsia="宋体" w:cs="宋体"/>
          <w:color w:val="auto"/>
          <w:szCs w:val="21"/>
          <w:highlight w:val="none"/>
        </w:rPr>
      </w:pPr>
      <w:bookmarkStart w:id="1018" w:name="_Toc31548"/>
      <w:r>
        <w:rPr>
          <w:rFonts w:hint="eastAsia" w:ascii="宋体" w:hAnsi="宋体" w:eastAsia="宋体" w:cs="宋体"/>
          <w:color w:val="auto"/>
          <w:szCs w:val="21"/>
          <w:highlight w:val="none"/>
        </w:rPr>
        <w:t>附件5：承包人用于本工程施工的机械设备表</w:t>
      </w:r>
      <w:bookmarkEnd w:id="1018"/>
    </w:p>
    <w:p w14:paraId="6E3510F7">
      <w:pPr>
        <w:spacing w:line="480" w:lineRule="exact"/>
        <w:rPr>
          <w:rFonts w:hint="eastAsia" w:ascii="宋体" w:hAnsi="宋体" w:eastAsia="宋体" w:cs="宋体"/>
          <w:color w:val="auto"/>
          <w:szCs w:val="21"/>
          <w:highlight w:val="none"/>
        </w:rPr>
      </w:pPr>
      <w:bookmarkStart w:id="1019" w:name="_Toc18093"/>
      <w:r>
        <w:rPr>
          <w:rFonts w:hint="eastAsia" w:ascii="宋体" w:hAnsi="宋体" w:eastAsia="宋体" w:cs="宋体"/>
          <w:color w:val="auto"/>
          <w:szCs w:val="21"/>
          <w:highlight w:val="none"/>
        </w:rPr>
        <w:t>附件6：承包人主要施工管理人员表</w:t>
      </w:r>
      <w:bookmarkEnd w:id="1019"/>
    </w:p>
    <w:p w14:paraId="7BC4C8B9">
      <w:pPr>
        <w:spacing w:line="480" w:lineRule="exact"/>
        <w:rPr>
          <w:rFonts w:hint="eastAsia" w:ascii="宋体" w:hAnsi="宋体" w:eastAsia="宋体" w:cs="宋体"/>
          <w:color w:val="auto"/>
          <w:szCs w:val="21"/>
          <w:highlight w:val="none"/>
        </w:rPr>
      </w:pPr>
      <w:bookmarkStart w:id="1020" w:name="_Toc26640"/>
      <w:r>
        <w:rPr>
          <w:rFonts w:hint="eastAsia" w:ascii="宋体" w:hAnsi="宋体" w:eastAsia="宋体" w:cs="宋体"/>
          <w:color w:val="auto"/>
          <w:szCs w:val="21"/>
          <w:highlight w:val="none"/>
        </w:rPr>
        <w:t>附件7：分包人主要施工管理人员表</w:t>
      </w:r>
      <w:bookmarkEnd w:id="1020"/>
    </w:p>
    <w:p w14:paraId="1525B067">
      <w:pPr>
        <w:spacing w:line="480" w:lineRule="exact"/>
        <w:rPr>
          <w:rFonts w:hint="eastAsia" w:ascii="宋体" w:hAnsi="宋体" w:eastAsia="宋体" w:cs="宋体"/>
          <w:bCs/>
          <w:color w:val="auto"/>
          <w:szCs w:val="21"/>
          <w:highlight w:val="none"/>
        </w:rPr>
      </w:pPr>
      <w:bookmarkStart w:id="1021" w:name="_Toc2614"/>
      <w:r>
        <w:rPr>
          <w:rFonts w:hint="eastAsia" w:ascii="宋体" w:hAnsi="宋体" w:eastAsia="宋体" w:cs="宋体"/>
          <w:color w:val="auto"/>
          <w:szCs w:val="21"/>
          <w:highlight w:val="none"/>
        </w:rPr>
        <w:t>附件8：履约担保格式</w:t>
      </w:r>
      <w:r>
        <w:rPr>
          <w:rFonts w:hint="eastAsia" w:ascii="宋体" w:hAnsi="宋体" w:eastAsia="宋体" w:cs="宋体"/>
          <w:bCs/>
          <w:color w:val="auto"/>
          <w:szCs w:val="21"/>
          <w:highlight w:val="none"/>
        </w:rPr>
        <w:t>（经评审最低投标价法中标履约担保格式见本章附件4-1）</w:t>
      </w:r>
      <w:bookmarkEnd w:id="1021"/>
    </w:p>
    <w:p w14:paraId="26D872AB">
      <w:pPr>
        <w:spacing w:line="480" w:lineRule="exact"/>
        <w:rPr>
          <w:rFonts w:hint="eastAsia" w:ascii="宋体" w:hAnsi="宋体" w:eastAsia="宋体" w:cs="宋体"/>
          <w:color w:val="auto"/>
          <w:szCs w:val="21"/>
          <w:highlight w:val="none"/>
        </w:rPr>
      </w:pPr>
      <w:bookmarkStart w:id="1022" w:name="_Toc7302"/>
      <w:r>
        <w:rPr>
          <w:rFonts w:hint="eastAsia" w:ascii="宋体" w:hAnsi="宋体" w:eastAsia="宋体" w:cs="宋体"/>
          <w:color w:val="auto"/>
          <w:szCs w:val="21"/>
          <w:highlight w:val="none"/>
        </w:rPr>
        <w:t>附件9：预付款担保格式</w:t>
      </w:r>
      <w:bookmarkEnd w:id="1022"/>
    </w:p>
    <w:p w14:paraId="26846B03">
      <w:pPr>
        <w:spacing w:line="480" w:lineRule="exact"/>
        <w:rPr>
          <w:rFonts w:hint="eastAsia" w:ascii="宋体" w:hAnsi="宋体" w:eastAsia="宋体" w:cs="宋体"/>
          <w:color w:val="auto"/>
          <w:szCs w:val="21"/>
          <w:highlight w:val="none"/>
        </w:rPr>
      </w:pPr>
      <w:bookmarkStart w:id="1023" w:name="_Toc6205"/>
      <w:r>
        <w:rPr>
          <w:rFonts w:hint="eastAsia" w:ascii="宋体" w:hAnsi="宋体" w:eastAsia="宋体" w:cs="宋体"/>
          <w:color w:val="auto"/>
          <w:szCs w:val="21"/>
          <w:highlight w:val="none"/>
        </w:rPr>
        <w:t>附件10：支付担保格式</w:t>
      </w:r>
      <w:bookmarkEnd w:id="1023"/>
    </w:p>
    <w:p w14:paraId="55EB500B">
      <w:pPr>
        <w:spacing w:line="480" w:lineRule="exact"/>
        <w:rPr>
          <w:rFonts w:hint="eastAsia" w:ascii="宋体" w:hAnsi="宋体" w:eastAsia="宋体" w:cs="宋体"/>
          <w:color w:val="auto"/>
          <w:szCs w:val="21"/>
          <w:highlight w:val="none"/>
        </w:rPr>
      </w:pPr>
      <w:bookmarkStart w:id="1024" w:name="_Toc30287"/>
      <w:r>
        <w:rPr>
          <w:rFonts w:hint="eastAsia" w:ascii="宋体" w:hAnsi="宋体" w:eastAsia="宋体" w:cs="宋体"/>
          <w:color w:val="auto"/>
          <w:szCs w:val="21"/>
          <w:highlight w:val="none"/>
        </w:rPr>
        <w:t>附件11：暂估价一览表</w:t>
      </w:r>
      <w:bookmarkEnd w:id="1024"/>
    </w:p>
    <w:p w14:paraId="101F82E4">
      <w:pPr>
        <w:spacing w:line="480" w:lineRule="exact"/>
        <w:rPr>
          <w:rFonts w:hint="eastAsia" w:ascii="宋体" w:hAnsi="宋体" w:eastAsia="宋体" w:cs="宋体"/>
          <w:b/>
          <w:bCs w:val="0"/>
          <w:color w:val="auto"/>
          <w:szCs w:val="21"/>
          <w:highlight w:val="none"/>
        </w:rPr>
      </w:pPr>
    </w:p>
    <w:p w14:paraId="1EB4799B">
      <w:pPr>
        <w:spacing w:line="480" w:lineRule="exact"/>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说明：请招标人根据《建设工程施工合同（示范文本）》（GF-2017-0201）的“附件”格式填写相关内容</w:t>
      </w:r>
    </w:p>
    <w:p w14:paraId="09B56B21">
      <w:pPr>
        <w:spacing w:line="480" w:lineRule="exact"/>
        <w:rPr>
          <w:rFonts w:hint="eastAsia" w:ascii="宋体" w:hAnsi="宋体" w:eastAsia="宋体" w:cs="宋体"/>
          <w:color w:val="auto"/>
          <w:szCs w:val="21"/>
          <w:highlight w:val="none"/>
        </w:rPr>
        <w:sectPr>
          <w:footerReference r:id="rId9" w:type="first"/>
          <w:footerReference r:id="rId8" w:type="default"/>
          <w:pgSz w:w="11906" w:h="16838"/>
          <w:pgMar w:top="1417" w:right="1440" w:bottom="1417" w:left="1440" w:header="850" w:footer="850" w:gutter="0"/>
          <w:pgNumType w:fmt="decimal"/>
          <w:cols w:space="720" w:num="1"/>
          <w:titlePg/>
          <w:docGrid w:type="lines" w:linePitch="315" w:charSpace="0"/>
        </w:sectPr>
      </w:pPr>
    </w:p>
    <w:bookmarkEnd w:id="448"/>
    <w:p w14:paraId="5F171397">
      <w:pPr>
        <w:rPr>
          <w:rFonts w:hint="eastAsia" w:ascii="宋体" w:hAnsi="宋体" w:eastAsia="宋体" w:cs="宋体"/>
          <w:color w:val="auto"/>
          <w:szCs w:val="21"/>
          <w:highlight w:val="none"/>
        </w:rPr>
      </w:pPr>
      <w:bookmarkStart w:id="1025" w:name="_Toc27878"/>
      <w:r>
        <w:rPr>
          <w:rFonts w:hint="eastAsia" w:ascii="宋体" w:hAnsi="宋体" w:eastAsia="宋体" w:cs="宋体"/>
          <w:color w:val="auto"/>
          <w:szCs w:val="21"/>
          <w:highlight w:val="none"/>
        </w:rPr>
        <w:t>附件4-1-1：经评审最低投标价法中标履约担保格式</w:t>
      </w:r>
      <w:bookmarkEnd w:id="1025"/>
    </w:p>
    <w:p w14:paraId="69C458C6">
      <w:pPr>
        <w:jc w:val="center"/>
        <w:rPr>
          <w:rFonts w:hint="eastAsia" w:ascii="宋体" w:hAnsi="宋体" w:eastAsia="宋体" w:cs="宋体"/>
          <w:color w:val="auto"/>
          <w:sz w:val="30"/>
          <w:szCs w:val="30"/>
          <w:highlight w:val="none"/>
        </w:rPr>
      </w:pPr>
    </w:p>
    <w:p w14:paraId="7F7D2145">
      <w:pPr>
        <w:jc w:val="center"/>
        <w:rPr>
          <w:rFonts w:hint="eastAsia" w:ascii="宋体" w:hAnsi="宋体" w:eastAsia="宋体" w:cs="宋体"/>
          <w:color w:val="auto"/>
          <w:sz w:val="30"/>
          <w:szCs w:val="30"/>
          <w:highlight w:val="none"/>
        </w:rPr>
      </w:pPr>
      <w:bookmarkStart w:id="1026" w:name="_Toc2411"/>
      <w:r>
        <w:rPr>
          <w:rFonts w:hint="eastAsia" w:ascii="宋体" w:hAnsi="宋体" w:eastAsia="宋体" w:cs="宋体"/>
          <w:color w:val="auto"/>
          <w:sz w:val="30"/>
          <w:szCs w:val="30"/>
          <w:highlight w:val="none"/>
        </w:rPr>
        <w:t>履约保函（格式）</w:t>
      </w:r>
      <w:bookmarkEnd w:id="1026"/>
    </w:p>
    <w:p w14:paraId="2A16DDBE">
      <w:pPr>
        <w:spacing w:line="360" w:lineRule="auto"/>
        <w:rPr>
          <w:rFonts w:hint="eastAsia" w:ascii="宋体" w:hAnsi="宋体" w:eastAsia="宋体" w:cs="宋体"/>
          <w:color w:val="auto"/>
          <w:szCs w:val="32"/>
          <w:highlight w:val="none"/>
        </w:rPr>
      </w:pP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（受益人名称）：</w:t>
      </w:r>
    </w:p>
    <w:p w14:paraId="3DB2AF9B">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鉴于你方作为招标人已经于</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年</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月</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日向</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公司（以下称“中标人”）发出</w:t>
      </w:r>
      <w:r>
        <w:rPr>
          <w:rFonts w:hint="eastAsia" w:ascii="宋体" w:hAnsi="宋体" w:eastAsia="宋体" w:cs="宋体"/>
          <w:color w:val="auto"/>
          <w:szCs w:val="32"/>
          <w:highlight w:val="none"/>
          <w:u w:val="single"/>
        </w:rPr>
        <w:t xml:space="preserve">  （招标项目及标段）  </w:t>
      </w:r>
      <w:r>
        <w:rPr>
          <w:rFonts w:hint="eastAsia" w:ascii="宋体" w:hAnsi="宋体" w:eastAsia="宋体" w:cs="宋体"/>
          <w:color w:val="auto"/>
          <w:szCs w:val="32"/>
          <w:highlight w:val="none"/>
        </w:rPr>
        <w:t>发出中标通知书，我方愿意无条件、不可撤销地就中标人履行与你方签订的工程建设合同义务，向你方出具见索即付保函：</w:t>
      </w:r>
    </w:p>
    <w:p w14:paraId="357EE99E">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1．本保函最高担保金额人民币（大写）</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元（¥</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w:t>
      </w:r>
    </w:p>
    <w:p w14:paraId="2BE79D73">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2．本保函有效期自保函签发之日起至合同约定的主要义务履行完毕止，或者至我方收到你方与中标人共同签署的解除工程建设合同的书面通知书，或者建设工程中止施工超过3个月的书面通知书止。但本保函有效期最迟不超过</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年</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月</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日。</w:t>
      </w:r>
    </w:p>
    <w:p w14:paraId="32F6993C">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3．在本保函有效期内，因中标人未能按照合同约定履行义务时，我方在收到你方提出的书面索赔通知以及本保函原件后，在10个工作日内无条件地向你方支付累计总额不超过本保函第1款约定的经济赔偿金。</w:t>
      </w:r>
    </w:p>
    <w:p w14:paraId="37E3F862">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4．你方的索赔通知应当符合下列要求：</w:t>
      </w:r>
    </w:p>
    <w:p w14:paraId="359DEB44">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（1）索赔通知应当列明索赔金额，由你方加盖单位公章和法定代表人印章；</w:t>
      </w:r>
    </w:p>
    <w:p w14:paraId="48D1928D">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（2）提交索赔通知的同时出具一份书面申明，申明索赔款项并未由中标人或其委托代理人直接或间接地支付给你方；</w:t>
      </w:r>
    </w:p>
    <w:p w14:paraId="0E7FAB6A">
      <w:pPr>
        <w:spacing w:line="360" w:lineRule="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（3）索赔通知书必须在本保函有效期内邮寄或送达以下地址：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w:t>
      </w:r>
    </w:p>
    <w:p w14:paraId="208DA931">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5．你方和中标人变更合同时，我方承担本保函规定的义务不变。</w:t>
      </w:r>
    </w:p>
    <w:p w14:paraId="20630A77">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6．本保函项下的权利不得转让或设定担保。</w:t>
      </w:r>
    </w:p>
    <w:p w14:paraId="5C468552">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7．本保函有效期届满，或者我方收到你方与中标人共同签署的解除工程建设合同的书面通知书，或者建设工程项目中止施工超过3个月的书面通知书后，无论是否将保函原件退回我方，本保函自行失效。我方在本保函项下的保证责任解除，此后提出的要求我方履行担保责任的主张无效。</w:t>
      </w:r>
    </w:p>
    <w:p w14:paraId="1EFA5DDA">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8．本保函项下所有权利和义务均受中华人民共和国法律管辖和制约。</w:t>
      </w:r>
    </w:p>
    <w:p w14:paraId="564EFC1F">
      <w:pPr>
        <w:spacing w:line="360" w:lineRule="auto"/>
        <w:ind w:firstLine="420" w:firstLineChars="200"/>
        <w:rPr>
          <w:rFonts w:hint="eastAsia" w:ascii="宋体" w:hAnsi="宋体" w:eastAsia="宋体" w:cs="宋体"/>
          <w:color w:val="auto"/>
          <w:szCs w:val="32"/>
          <w:highlight w:val="none"/>
        </w:rPr>
      </w:pPr>
    </w:p>
    <w:p w14:paraId="558282E9">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开立人：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（盖章）</w:t>
      </w:r>
    </w:p>
    <w:p w14:paraId="24F228F9">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法定代表人（负责人）：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（签字或盖章）</w:t>
      </w:r>
    </w:p>
    <w:p w14:paraId="1B499226">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地址：</w:t>
      </w:r>
      <w:r>
        <w:rPr>
          <w:rFonts w:hint="eastAsia" w:ascii="宋体" w:hAnsi="宋体" w:eastAsia="宋体" w:cs="宋体"/>
          <w:color w:val="auto"/>
          <w:szCs w:val="32"/>
          <w:highlight w:val="none"/>
          <w:u w:val="single"/>
        </w:rPr>
        <w:t xml:space="preserve">                                           </w:t>
      </w:r>
    </w:p>
    <w:p w14:paraId="77ACF771">
      <w:pPr>
        <w:spacing w:line="360" w:lineRule="auto"/>
        <w:ind w:firstLine="420" w:firstLineChars="20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邮政编码：</w:t>
      </w:r>
      <w:r>
        <w:rPr>
          <w:rFonts w:hint="eastAsia" w:ascii="宋体" w:hAnsi="宋体" w:eastAsia="宋体" w:cs="宋体"/>
          <w:color w:val="auto"/>
          <w:szCs w:val="32"/>
          <w:highlight w:val="none"/>
          <w:u w:val="single"/>
        </w:rPr>
        <w:t xml:space="preserve">                                       </w:t>
      </w:r>
    </w:p>
    <w:p w14:paraId="7BE8146D">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电话：</w:t>
      </w:r>
      <w:r>
        <w:rPr>
          <w:rFonts w:hint="eastAsia" w:ascii="宋体" w:hAnsi="宋体" w:eastAsia="宋体" w:cs="宋体"/>
          <w:color w:val="auto"/>
          <w:szCs w:val="32"/>
          <w:highlight w:val="none"/>
          <w:u w:val="single"/>
        </w:rPr>
        <w:t xml:space="preserve">                                           </w:t>
      </w:r>
    </w:p>
    <w:p w14:paraId="0AC15E56">
      <w:pPr>
        <w:spacing w:line="360" w:lineRule="auto"/>
        <w:ind w:firstLine="420" w:firstLineChars="20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传真：</w:t>
      </w:r>
      <w:r>
        <w:rPr>
          <w:rFonts w:hint="eastAsia" w:ascii="宋体" w:hAnsi="宋体" w:eastAsia="宋体" w:cs="宋体"/>
          <w:color w:val="auto"/>
          <w:szCs w:val="32"/>
          <w:highlight w:val="none"/>
          <w:u w:val="single"/>
        </w:rPr>
        <w:t xml:space="preserve">                                           </w:t>
      </w:r>
    </w:p>
    <w:p w14:paraId="79F485F5">
      <w:pPr>
        <w:spacing w:line="360" w:lineRule="auto"/>
        <w:ind w:firstLine="420" w:firstLineChars="200"/>
        <w:rPr>
          <w:rFonts w:hint="eastAsia" w:ascii="宋体" w:hAnsi="宋体" w:eastAsia="宋体" w:cs="宋体"/>
          <w:color w:val="auto"/>
          <w:szCs w:val="32"/>
          <w:highlight w:val="none"/>
        </w:rPr>
      </w:pPr>
    </w:p>
    <w:p w14:paraId="3D5C615F">
      <w:pPr>
        <w:spacing w:line="360" w:lineRule="auto"/>
        <w:ind w:firstLine="420"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年</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月</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日</w:t>
      </w:r>
    </w:p>
    <w:p w14:paraId="067E8A64">
      <w:pPr>
        <w:widowControl/>
        <w:jc w:val="left"/>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55087334">
      <w:pPr>
        <w:rPr>
          <w:rFonts w:hint="eastAsia" w:ascii="宋体" w:hAnsi="宋体" w:eastAsia="宋体" w:cs="宋体"/>
          <w:color w:val="auto"/>
          <w:szCs w:val="32"/>
          <w:highlight w:val="none"/>
        </w:rPr>
      </w:pPr>
      <w:bookmarkStart w:id="1027" w:name="_Toc23280"/>
      <w:r>
        <w:rPr>
          <w:rFonts w:hint="eastAsia" w:ascii="宋体" w:hAnsi="宋体" w:eastAsia="宋体" w:cs="宋体"/>
          <w:color w:val="auto"/>
          <w:szCs w:val="21"/>
          <w:highlight w:val="none"/>
        </w:rPr>
        <w:t>附件4-1-2：经评审最低投标价法中标履约担保格式</w:t>
      </w:r>
      <w:bookmarkEnd w:id="1027"/>
    </w:p>
    <w:p w14:paraId="1E88C3BC">
      <w:pPr>
        <w:jc w:val="center"/>
        <w:rPr>
          <w:rFonts w:hint="eastAsia" w:ascii="宋体" w:hAnsi="宋体" w:eastAsia="宋体" w:cs="宋体"/>
          <w:color w:val="auto"/>
          <w:sz w:val="30"/>
          <w:szCs w:val="30"/>
          <w:highlight w:val="none"/>
        </w:rPr>
      </w:pPr>
    </w:p>
    <w:p w14:paraId="7D0DF859">
      <w:pPr>
        <w:jc w:val="center"/>
        <w:rPr>
          <w:rFonts w:hint="eastAsia" w:ascii="宋体" w:hAnsi="宋体" w:eastAsia="宋体" w:cs="宋体"/>
          <w:color w:val="auto"/>
          <w:sz w:val="30"/>
          <w:szCs w:val="30"/>
          <w:highlight w:val="none"/>
        </w:rPr>
      </w:pPr>
      <w:bookmarkStart w:id="1028" w:name="_Toc14677"/>
      <w:r>
        <w:rPr>
          <w:rFonts w:hint="eastAsia" w:ascii="宋体" w:hAnsi="宋体" w:eastAsia="宋体" w:cs="宋体"/>
          <w:color w:val="auto"/>
          <w:sz w:val="30"/>
          <w:szCs w:val="30"/>
          <w:highlight w:val="none"/>
        </w:rPr>
        <w:t>建设工程施工履约保证保险</w:t>
      </w:r>
      <w:bookmarkEnd w:id="1028"/>
    </w:p>
    <w:p w14:paraId="2567E59C">
      <w:pPr>
        <w:jc w:val="center"/>
        <w:rPr>
          <w:rFonts w:hint="eastAsia" w:ascii="宋体" w:hAnsi="宋体" w:eastAsia="宋体" w:cs="宋体"/>
          <w:color w:val="auto"/>
          <w:sz w:val="30"/>
          <w:szCs w:val="30"/>
          <w:highlight w:val="none"/>
        </w:rPr>
      </w:pPr>
    </w:p>
    <w:p w14:paraId="6E63B250">
      <w:pPr>
        <w:pStyle w:val="143"/>
        <w:snapToGrid w:val="0"/>
        <w:spacing w:after="0" w:line="3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rPr>
        <w:t xml:space="preserve">                         （招标人名称）</w:t>
      </w:r>
      <w:r>
        <w:rPr>
          <w:rFonts w:hint="eastAsia" w:ascii="宋体" w:hAnsi="宋体" w:eastAsia="宋体" w:cs="宋体"/>
          <w:color w:val="auto"/>
          <w:sz w:val="21"/>
          <w:szCs w:val="21"/>
          <w:highlight w:val="none"/>
        </w:rPr>
        <w:t xml:space="preserve">： </w:t>
      </w:r>
    </w:p>
    <w:p w14:paraId="279A9E48">
      <w:pPr>
        <w:pStyle w:val="143"/>
        <w:snapToGrid w:val="0"/>
        <w:spacing w:after="0" w:line="3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color="000000"/>
        </w:rPr>
        <w:t xml:space="preserve">                        </w:t>
      </w:r>
      <w:r>
        <w:rPr>
          <w:rFonts w:hint="eastAsia" w:ascii="宋体" w:hAnsi="宋体" w:eastAsia="宋体" w:cs="宋体"/>
          <w:color w:val="auto"/>
          <w:sz w:val="21"/>
          <w:szCs w:val="21"/>
          <w:highlight w:val="none"/>
        </w:rPr>
        <w:t>（以下简称“中标人”）于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月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日参加你方组织的</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u w:val="single"/>
        </w:rPr>
        <w:t>（招标项目及标段）</w:t>
      </w:r>
      <w:r>
        <w:rPr>
          <w:rFonts w:hint="eastAsia" w:ascii="宋体" w:hAnsi="宋体" w:eastAsia="宋体" w:cs="宋体"/>
          <w:color w:val="auto"/>
          <w:sz w:val="21"/>
          <w:szCs w:val="21"/>
          <w:highlight w:val="none"/>
        </w:rPr>
        <w:t>施工的招标投标，并收到你方发出的中标通知书。现中标人向我方投保建设工程施工合同履约保证保险（保险单号：              ）。我方愿就中标人履行《建设工程施工合同》约定的义务向贵方提供如下保证保险：</w:t>
      </w:r>
    </w:p>
    <w:p w14:paraId="68F31D0B">
      <w:pPr>
        <w:widowControl/>
        <w:snapToGrid w:val="0"/>
        <w:spacing w:line="380" w:lineRule="exact"/>
        <w:ind w:firstLine="420" w:firstLineChars="200"/>
        <w:rPr>
          <w:rFonts w:hint="eastAsia" w:ascii="宋体" w:hAnsi="宋体" w:eastAsia="宋体" w:cs="宋体"/>
          <w:color w:val="auto"/>
          <w:szCs w:val="21"/>
          <w:highlight w:val="none"/>
        </w:rPr>
      </w:pPr>
      <w:bookmarkStart w:id="1029" w:name="_Toc3259"/>
      <w:r>
        <w:rPr>
          <w:rFonts w:hint="eastAsia" w:ascii="宋体" w:hAnsi="宋体" w:eastAsia="宋体" w:cs="宋体"/>
          <w:color w:val="auto"/>
          <w:szCs w:val="21"/>
          <w:highlight w:val="none"/>
        </w:rPr>
        <w:t>一、保证保险金额</w:t>
      </w:r>
      <w:bookmarkEnd w:id="1029"/>
    </w:p>
    <w:p w14:paraId="3566C6CD">
      <w:pPr>
        <w:widowControl/>
        <w:snapToGrid w:val="0"/>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我方承担的履约保证保险的保险金额（最高限额）为人民币</w:t>
      </w:r>
      <w:r>
        <w:rPr>
          <w:rFonts w:hint="eastAsia" w:ascii="宋体" w:hAnsi="宋体" w:eastAsia="宋体" w:cs="宋体"/>
          <w:bCs/>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32"/>
          <w:highlight w:val="none"/>
        </w:rPr>
        <w:t>（¥</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hint="eastAsia" w:ascii="宋体" w:hAnsi="宋体" w:eastAsia="宋体" w:cs="宋体"/>
          <w:color w:val="auto"/>
          <w:szCs w:val="21"/>
          <w:highlight w:val="none"/>
        </w:rPr>
        <w:t>。</w:t>
      </w:r>
    </w:p>
    <w:p w14:paraId="6FED3D1F">
      <w:pPr>
        <w:widowControl/>
        <w:snapToGrid w:val="0"/>
        <w:spacing w:line="380" w:lineRule="exact"/>
        <w:ind w:firstLine="420" w:firstLineChars="200"/>
        <w:rPr>
          <w:rFonts w:hint="eastAsia" w:ascii="宋体" w:hAnsi="宋体" w:eastAsia="宋体" w:cs="宋体"/>
          <w:color w:val="auto"/>
          <w:szCs w:val="21"/>
          <w:highlight w:val="none"/>
        </w:rPr>
      </w:pPr>
      <w:bookmarkStart w:id="1030" w:name="_Toc20597"/>
      <w:r>
        <w:rPr>
          <w:rFonts w:hint="eastAsia" w:ascii="宋体" w:hAnsi="宋体" w:eastAsia="宋体" w:cs="宋体"/>
          <w:color w:val="auto"/>
          <w:szCs w:val="21"/>
          <w:highlight w:val="none"/>
        </w:rPr>
        <w:t>二、保证保险的责任范围</w:t>
      </w:r>
      <w:bookmarkEnd w:id="1030"/>
    </w:p>
    <w:p w14:paraId="74EC5278">
      <w:pPr>
        <w:snapToGrid w:val="0"/>
        <w:spacing w:line="3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在保险期间内，中标人（投保人）因自身原因未按照与招标人（被保险人）签订的《建设工程施工合同》（合同编号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）履行相关义务，导致工程竣工延误或工程质量不符合建设工程施工合同要求，给被保险人造成直接经济损失的，被保险人可向保险人提出索赔，保险人按照保险合同的约定承担损失赔偿责任。</w:t>
      </w:r>
    </w:p>
    <w:p w14:paraId="4BAC12D1">
      <w:pPr>
        <w:snapToGrid w:val="0"/>
        <w:spacing w:line="380" w:lineRule="exact"/>
        <w:ind w:firstLine="420" w:firstLineChars="200"/>
        <w:jc w:val="left"/>
        <w:rPr>
          <w:rFonts w:hint="eastAsia" w:ascii="宋体" w:hAnsi="宋体" w:eastAsia="宋体" w:cs="宋体"/>
          <w:color w:val="auto"/>
          <w:szCs w:val="21"/>
          <w:highlight w:val="none"/>
        </w:rPr>
      </w:pPr>
      <w:bookmarkStart w:id="1031" w:name="_Toc28277"/>
      <w:r>
        <w:rPr>
          <w:rFonts w:hint="eastAsia" w:ascii="宋体" w:hAnsi="宋体" w:eastAsia="宋体" w:cs="宋体"/>
          <w:color w:val="auto"/>
          <w:szCs w:val="21"/>
          <w:highlight w:val="none"/>
        </w:rPr>
        <w:t>三、代偿的安排</w:t>
      </w:r>
      <w:bookmarkEnd w:id="1031"/>
    </w:p>
    <w:p w14:paraId="012A973F">
      <w:pPr>
        <w:snapToGrid w:val="0"/>
        <w:spacing w:line="3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贵方要求我方承担保证保险责任的，应向我方发出书面索赔通知。索赔通知应写明要求索赔的金额，支付款项应到达的帐号，并附有说明中标人违约造成贵方损失情况的证明材料。</w:t>
      </w:r>
    </w:p>
    <w:p w14:paraId="465F7C5E">
      <w:pPr>
        <w:snapToGrid w:val="0"/>
        <w:spacing w:line="3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我方收到贵方的书面索赔通知及相应证明材料后，在</w:t>
      </w:r>
      <w:r>
        <w:rPr>
          <w:rFonts w:hint="eastAsia" w:ascii="宋体" w:hAnsi="宋体" w:eastAsia="宋体" w:cs="宋体"/>
          <w:color w:val="auto"/>
          <w:szCs w:val="21"/>
          <w:highlight w:val="none"/>
          <w:u w:val="single"/>
        </w:rPr>
        <w:t>10</w:t>
      </w:r>
      <w:r>
        <w:rPr>
          <w:rFonts w:hint="eastAsia" w:ascii="宋体" w:hAnsi="宋体" w:eastAsia="宋体" w:cs="宋体"/>
          <w:color w:val="auto"/>
          <w:szCs w:val="21"/>
          <w:highlight w:val="none"/>
        </w:rPr>
        <w:t>个工作日内进行核定后，按照保险合同的约定承诺承担保证保险责任。</w:t>
      </w:r>
    </w:p>
    <w:p w14:paraId="31DC186A">
      <w:pPr>
        <w:snapToGrid w:val="0"/>
        <w:spacing w:line="380" w:lineRule="exact"/>
        <w:ind w:firstLine="420" w:firstLineChars="200"/>
        <w:jc w:val="left"/>
        <w:rPr>
          <w:rFonts w:hint="eastAsia" w:ascii="宋体" w:hAnsi="宋体" w:eastAsia="宋体" w:cs="宋体"/>
          <w:color w:val="auto"/>
          <w:szCs w:val="21"/>
          <w:highlight w:val="none"/>
        </w:rPr>
      </w:pPr>
      <w:bookmarkStart w:id="1032" w:name="_Toc12321"/>
      <w:r>
        <w:rPr>
          <w:rFonts w:hint="eastAsia" w:ascii="宋体" w:hAnsi="宋体" w:eastAsia="宋体" w:cs="宋体"/>
          <w:color w:val="auto"/>
          <w:szCs w:val="21"/>
          <w:highlight w:val="none"/>
        </w:rPr>
        <w:t>四、保单凭证有效期</w:t>
      </w:r>
      <w:bookmarkEnd w:id="1032"/>
    </w:p>
    <w:p w14:paraId="44F1F0E1">
      <w:pPr>
        <w:snapToGrid w:val="0"/>
        <w:spacing w:line="3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本保单凭证的有效期自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日零时起至</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日二十四时止。</w:t>
      </w:r>
    </w:p>
    <w:p w14:paraId="7B107D4B">
      <w:pPr>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（即：保险合同签发之日起至合同到期之日止，具体以保险合同载明为准。）</w:t>
      </w:r>
    </w:p>
    <w:p w14:paraId="594E1829">
      <w:pPr>
        <w:snapToGrid w:val="0"/>
        <w:spacing w:line="380" w:lineRule="exact"/>
        <w:ind w:firstLine="420" w:firstLineChars="200"/>
        <w:jc w:val="left"/>
        <w:rPr>
          <w:rFonts w:hint="eastAsia" w:ascii="宋体" w:hAnsi="宋体" w:eastAsia="宋体" w:cs="宋体"/>
          <w:color w:val="auto"/>
          <w:szCs w:val="21"/>
          <w:highlight w:val="none"/>
        </w:rPr>
      </w:pPr>
      <w:bookmarkStart w:id="1033" w:name="_Toc21129"/>
      <w:r>
        <w:rPr>
          <w:rFonts w:hint="eastAsia" w:ascii="宋体" w:hAnsi="宋体" w:eastAsia="宋体" w:cs="宋体"/>
          <w:color w:val="auto"/>
          <w:szCs w:val="21"/>
          <w:highlight w:val="none"/>
        </w:rPr>
        <w:t>五、争议解决方式</w:t>
      </w:r>
      <w:bookmarkEnd w:id="1033"/>
    </w:p>
    <w:p w14:paraId="77F5148E">
      <w:pPr>
        <w:snapToGrid w:val="0"/>
        <w:spacing w:line="38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本保单凭证（函）发生争议协商解决不成，按以下方式解决：提交</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诉讼</w:t>
      </w:r>
    </w:p>
    <w:p w14:paraId="14A6299A">
      <w:pPr>
        <w:snapToGrid w:val="0"/>
        <w:spacing w:line="38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九、本保险保单凭证/保函未载明事宜以保险合同约定为准。</w:t>
      </w:r>
    </w:p>
    <w:p w14:paraId="35932671">
      <w:pPr>
        <w:snapToGrid w:val="0"/>
        <w:spacing w:line="38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十、本保险保单凭证/保函自保险人或授权代理人签字并加盖公章之日起生效。</w:t>
      </w:r>
    </w:p>
    <w:p w14:paraId="0E9A121F">
      <w:pPr>
        <w:snapToGrid w:val="0"/>
        <w:spacing w:line="380" w:lineRule="exact"/>
        <w:ind w:firstLine="420" w:firstLineChars="200"/>
        <w:jc w:val="left"/>
        <w:rPr>
          <w:rFonts w:hint="eastAsia" w:ascii="宋体" w:hAnsi="宋体" w:eastAsia="宋体" w:cs="宋体"/>
          <w:color w:val="auto"/>
          <w:szCs w:val="21"/>
          <w:highlight w:val="none"/>
        </w:rPr>
      </w:pPr>
    </w:p>
    <w:p w14:paraId="26484BF9">
      <w:pPr>
        <w:snapToGrid w:val="0"/>
        <w:spacing w:line="380" w:lineRule="exact"/>
        <w:ind w:firstLine="420" w:firstLineChars="200"/>
        <w:jc w:val="left"/>
        <w:rPr>
          <w:rFonts w:hint="eastAsia" w:ascii="宋体" w:hAnsi="宋体" w:eastAsia="宋体" w:cs="宋体"/>
          <w:color w:val="auto"/>
          <w:szCs w:val="21"/>
          <w:highlight w:val="none"/>
        </w:rPr>
      </w:pPr>
    </w:p>
    <w:p w14:paraId="2E7B2027">
      <w:pPr>
        <w:pStyle w:val="190"/>
        <w:spacing w:after="0" w:line="38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保险人名称： </w:t>
      </w:r>
      <w:r>
        <w:rPr>
          <w:rFonts w:hint="eastAsia" w:ascii="宋体" w:hAnsi="宋体" w:eastAsia="宋体" w:cs="宋体"/>
          <w:color w:val="auto"/>
          <w:sz w:val="21"/>
          <w:szCs w:val="21"/>
          <w:highlight w:val="none"/>
          <w:u w:val="single"/>
        </w:rPr>
        <w:t xml:space="preserve">                                           </w:t>
      </w:r>
    </w:p>
    <w:p w14:paraId="4CE7456A">
      <w:pPr>
        <w:pStyle w:val="190"/>
        <w:spacing w:after="0" w:line="38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14:paraId="1B326308">
      <w:pPr>
        <w:pStyle w:val="190"/>
        <w:spacing w:after="0" w:line="3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日 </w:t>
      </w:r>
    </w:p>
    <w:p w14:paraId="09911006">
      <w:pPr>
        <w:rPr>
          <w:rFonts w:hint="eastAsia" w:ascii="宋体" w:hAnsi="宋体" w:eastAsia="宋体" w:cs="宋体"/>
          <w:bCs/>
          <w:color w:val="auto"/>
          <w:highlight w:val="none"/>
        </w:rPr>
      </w:pPr>
    </w:p>
    <w:p w14:paraId="1CF3A327">
      <w:pPr>
        <w:rPr>
          <w:rFonts w:hint="eastAsia" w:ascii="宋体" w:hAnsi="宋体" w:eastAsia="宋体" w:cs="宋体"/>
          <w:bCs/>
          <w:color w:val="auto"/>
          <w:highlight w:val="none"/>
        </w:rPr>
      </w:pPr>
    </w:p>
    <w:p w14:paraId="109E9EC1">
      <w:pPr>
        <w:rPr>
          <w:rFonts w:hint="eastAsia" w:ascii="宋体" w:hAnsi="宋体" w:eastAsia="宋体" w:cs="宋体"/>
          <w:bCs/>
          <w:color w:val="auto"/>
          <w:highlight w:val="none"/>
        </w:rPr>
      </w:pPr>
    </w:p>
    <w:p w14:paraId="1BDC3653">
      <w:pPr>
        <w:rPr>
          <w:rFonts w:hint="eastAsia" w:ascii="宋体" w:hAnsi="宋体" w:eastAsia="宋体" w:cs="宋体"/>
          <w:color w:val="auto"/>
          <w:highlight w:val="none"/>
        </w:rPr>
        <w:sectPr>
          <w:headerReference r:id="rId10" w:type="default"/>
          <w:footerReference r:id="rId11" w:type="default"/>
          <w:pgSz w:w="11907" w:h="16840"/>
          <w:pgMar w:top="1440" w:right="1440" w:bottom="1440" w:left="1440" w:header="851" w:footer="850" w:gutter="0"/>
          <w:cols w:space="720" w:num="1"/>
          <w:docGrid w:linePitch="326" w:charSpace="0"/>
        </w:sectPr>
      </w:pPr>
    </w:p>
    <w:p w14:paraId="7985FEF9">
      <w:pPr>
        <w:pStyle w:val="8"/>
        <w:spacing w:before="0" w:after="0"/>
        <w:jc w:val="center"/>
        <w:outlineLvl w:val="1"/>
        <w:rPr>
          <w:rFonts w:hint="eastAsia" w:ascii="宋体" w:hAnsi="宋体" w:eastAsia="宋体" w:cs="宋体"/>
          <w:b w:val="0"/>
          <w:color w:val="auto"/>
          <w:spacing w:val="-20"/>
          <w:w w:val="80"/>
          <w:sz w:val="21"/>
          <w:szCs w:val="21"/>
          <w:highlight w:val="none"/>
        </w:rPr>
      </w:pPr>
      <w:bookmarkStart w:id="1034" w:name="_Toc29522"/>
      <w:bookmarkStart w:id="1035" w:name="_Toc24342"/>
      <w:bookmarkStart w:id="1036" w:name="_Toc12767"/>
      <w:bookmarkStart w:id="1037" w:name="_Toc2276"/>
      <w:bookmarkStart w:id="1038" w:name="_Toc80006223"/>
      <w:bookmarkStart w:id="1039" w:name="_Toc17852"/>
      <w:bookmarkStart w:id="1040" w:name="_Toc80006113"/>
      <w:bookmarkStart w:id="1041" w:name="_Toc25683"/>
      <w:bookmarkStart w:id="1042" w:name="_Toc13856"/>
      <w:r>
        <w:rPr>
          <w:rFonts w:hint="eastAsia" w:ascii="宋体" w:hAnsi="宋体" w:eastAsia="宋体" w:cs="宋体"/>
          <w:b w:val="0"/>
          <w:bCs w:val="0"/>
          <w:color w:val="auto"/>
          <w:highlight w:val="none"/>
        </w:rPr>
        <w:t>第五章  工程量清单</w:t>
      </w:r>
      <w:bookmarkEnd w:id="1034"/>
      <w:bookmarkEnd w:id="1035"/>
      <w:bookmarkEnd w:id="1036"/>
      <w:bookmarkEnd w:id="1037"/>
      <w:bookmarkEnd w:id="1038"/>
      <w:bookmarkEnd w:id="1039"/>
      <w:bookmarkEnd w:id="1040"/>
      <w:bookmarkEnd w:id="1041"/>
      <w:bookmarkEnd w:id="1042"/>
    </w:p>
    <w:p w14:paraId="32F564A4">
      <w:pPr>
        <w:rPr>
          <w:rFonts w:hint="eastAsia" w:ascii="宋体" w:hAnsi="宋体" w:eastAsia="宋体" w:cs="宋体"/>
          <w:color w:val="auto"/>
          <w:szCs w:val="21"/>
          <w:highlight w:val="none"/>
        </w:rPr>
      </w:pPr>
    </w:p>
    <w:p w14:paraId="7AA4024A">
      <w:pPr>
        <w:pStyle w:val="8"/>
        <w:spacing w:before="0" w:after="0" w:line="360" w:lineRule="auto"/>
        <w:rPr>
          <w:rFonts w:hint="eastAsia" w:ascii="宋体" w:hAnsi="宋体" w:eastAsia="宋体" w:cs="宋体"/>
          <w:b w:val="0"/>
          <w:bCs w:val="0"/>
          <w:color w:val="auto"/>
          <w:sz w:val="30"/>
          <w:highlight w:val="none"/>
        </w:rPr>
      </w:pPr>
      <w:bookmarkStart w:id="1043" w:name="_Toc27346"/>
      <w:bookmarkStart w:id="1044" w:name="_Toc17678"/>
      <w:bookmarkStart w:id="1045" w:name="_Toc31615"/>
      <w:bookmarkStart w:id="1046" w:name="_Toc18218"/>
      <w:bookmarkStart w:id="1047" w:name="_Toc6267"/>
      <w:bookmarkStart w:id="1048" w:name="_Toc80006224"/>
      <w:bookmarkStart w:id="1049" w:name="_Toc80006114"/>
      <w:bookmarkStart w:id="1050" w:name="_Toc9178540"/>
      <w:r>
        <w:rPr>
          <w:rFonts w:hint="eastAsia" w:ascii="宋体" w:hAnsi="宋体" w:eastAsia="宋体" w:cs="宋体"/>
          <w:b w:val="0"/>
          <w:bCs w:val="0"/>
          <w:color w:val="auto"/>
          <w:sz w:val="30"/>
          <w:highlight w:val="none"/>
        </w:rPr>
        <w:t>1.工程量清单说明</w:t>
      </w:r>
      <w:bookmarkEnd w:id="1043"/>
      <w:bookmarkEnd w:id="1044"/>
      <w:bookmarkEnd w:id="1045"/>
      <w:bookmarkEnd w:id="1046"/>
      <w:bookmarkEnd w:id="1047"/>
      <w:bookmarkEnd w:id="1048"/>
      <w:bookmarkEnd w:id="1049"/>
    </w:p>
    <w:p w14:paraId="2539232E">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kern w:val="2"/>
          <w:highlight w:val="none"/>
        </w:rPr>
        <w:t>1.1本工程量清单是依据《建设工程工程量清单计价规范》(GB50500-2013,简称“国家计价规范”)、《关于印发2020&lt;湖南省建设工程计价办法&gt;及&lt;湖南省建设工程消耗量标准&gt;的通知》(湘建价〔2020〕56号,以下简称《计价办法》)以及招标文件中包括的图纸等编制。《计价办法》中规定的工程量计算规则中没有的项目,在本章第1.4款及本文件《第四章合同条款及格式》中约定;《计价办法》中规定的工程量计算规则中没有且本章第1.4款及本文件《第四章合同条款及格式》中也未约定的,双方协商确定;协商不成的,可向省级建设工程造价管理机构申请裁定。</w:t>
      </w:r>
    </w:p>
    <w:p w14:paraId="73DAD40E">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1.2本工程量清单应与招标文件中的投标人须知、通用合同条款、专用合同条款、技术标准和要求及图纸等章节内容一起阅读和理解。</w:t>
      </w:r>
    </w:p>
    <w:p w14:paraId="5FB2571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1.3本工程量清单是工程量清单计价的基础,应为编制最高投标限价、投标报价、计算或调整工程量、索赔等的依据之一。合同履行期间,本工程量清单缺陷经发承包双方确认后,应按照承包人实际完成合同工程的应予计量的工程量和实际发生的措施项目调整,合同价格的确定以及价款支付应遵循合同条款(包括通用合同条款和专用合同条款)、技术标准和要求以及本章的有关约定。</w:t>
      </w:r>
    </w:p>
    <w:p w14:paraId="54A0025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1.4补充项目的项目特征、计量单位、工程量计算规则及工作内容说明如下:</w:t>
      </w:r>
      <w:r>
        <w:rPr>
          <w:rFonts w:hint="eastAsia" w:ascii="宋体" w:hAnsi="宋体" w:eastAsia="宋体" w:cs="宋体"/>
          <w:color w:val="auto"/>
          <w:kern w:val="2"/>
          <w:highlight w:val="none"/>
          <w:u w:val="single"/>
        </w:rPr>
        <w:t xml:space="preserve">                 </w:t>
      </w:r>
      <w:r>
        <w:rPr>
          <w:rFonts w:hint="eastAsia" w:ascii="宋体" w:hAnsi="宋体" w:eastAsia="宋体" w:cs="宋体"/>
          <w:color w:val="auto"/>
          <w:kern w:val="2"/>
          <w:highlight w:val="none"/>
        </w:rPr>
        <w:t>。</w:t>
      </w:r>
    </w:p>
    <w:p w14:paraId="09A3929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1.5本条第1.1款中约定的计量和计价规则适用于合同履约过程中工程量计量与价款支付、工程变更、索赔和工程结算。</w:t>
      </w:r>
    </w:p>
    <w:p w14:paraId="63B09705">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1.6本条与下述第2条和第3条的说明内容是构成合同文件的已标价工程量清单的组成部分。</w:t>
      </w:r>
    </w:p>
    <w:p w14:paraId="07749BD1">
      <w:pPr>
        <w:pStyle w:val="8"/>
        <w:spacing w:before="0" w:after="0" w:line="360" w:lineRule="auto"/>
        <w:rPr>
          <w:rFonts w:hint="eastAsia" w:ascii="宋体" w:hAnsi="宋体" w:eastAsia="宋体" w:cs="宋体"/>
          <w:b w:val="0"/>
          <w:bCs w:val="0"/>
          <w:color w:val="auto"/>
          <w:sz w:val="30"/>
          <w:highlight w:val="none"/>
        </w:rPr>
      </w:pPr>
      <w:bookmarkStart w:id="1051" w:name="_Toc80006115"/>
      <w:bookmarkStart w:id="1052" w:name="_Toc1942"/>
      <w:bookmarkStart w:id="1053" w:name="_Toc13926"/>
      <w:bookmarkStart w:id="1054" w:name="_Toc3405"/>
      <w:bookmarkStart w:id="1055" w:name="_Toc21035"/>
      <w:bookmarkStart w:id="1056" w:name="_Toc80006225"/>
      <w:bookmarkStart w:id="1057" w:name="_Toc5554"/>
      <w:r>
        <w:rPr>
          <w:rFonts w:hint="eastAsia" w:ascii="宋体" w:hAnsi="宋体" w:eastAsia="宋体" w:cs="宋体"/>
          <w:b w:val="0"/>
          <w:bCs w:val="0"/>
          <w:color w:val="auto"/>
          <w:sz w:val="30"/>
          <w:highlight w:val="none"/>
        </w:rPr>
        <w:t>2.最高投标限价编制说明及公布内容</w:t>
      </w:r>
      <w:bookmarkEnd w:id="1051"/>
      <w:bookmarkEnd w:id="1052"/>
      <w:bookmarkEnd w:id="1053"/>
      <w:bookmarkEnd w:id="1054"/>
      <w:bookmarkEnd w:id="1055"/>
      <w:bookmarkEnd w:id="1056"/>
      <w:bookmarkEnd w:id="1057"/>
    </w:p>
    <w:p w14:paraId="75DCF864">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kern w:val="2"/>
          <w:highlight w:val="none"/>
        </w:rPr>
        <w:t>  2.1最高投标限价编制依据</w:t>
      </w:r>
    </w:p>
    <w:p w14:paraId="62D6CF2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2.1.1本招标文件及补充通知、答疑纪要、招标工程量清单;</w:t>
      </w:r>
    </w:p>
    <w:p w14:paraId="5A3590F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2.1.2《建设工程工程量清单计价规范》;</w:t>
      </w:r>
    </w:p>
    <w:p w14:paraId="497F2155">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2.1.3《关于印发2020&lt;湖南省建设工程计价办法&gt;及&lt;湖南省建设工程消耗量标准&gt;的通知》(湘建价〔2020〕56号);</w:t>
      </w:r>
    </w:p>
    <w:p w14:paraId="42F9864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2.1.4湖南省建设行政主管部门颁发的建设工程消耗量标准,取费标准、计费程序、人工费及机械费系数;</w:t>
      </w:r>
    </w:p>
    <w:p w14:paraId="0943DC47">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2.1.5建设工程设计文件及相关资料;</w:t>
      </w:r>
    </w:p>
    <w:p w14:paraId="27C201F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2.1.6与建设项目相关的标准、规范、技术资料;</w:t>
      </w:r>
    </w:p>
    <w:p w14:paraId="0DCAB5BA">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2.1.7工程造价管理机构发布的工程造价信息,工程造价信息没有发布的参照市场价;</w:t>
      </w:r>
    </w:p>
    <w:p w14:paraId="4A553B80">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2.1.8施工现场情况、工程特点及常规施工方案;</w:t>
      </w:r>
    </w:p>
    <w:p w14:paraId="6DF8688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2.1.9其他的相关资料(招标人可根据有关规定进行细化);</w:t>
      </w:r>
    </w:p>
    <w:p w14:paraId="65A5A912">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w:t>
      </w:r>
    </w:p>
    <w:p w14:paraId="54334BC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2.2本最高投标限价由具有编制能力的招标人或受其委托并具有相应资质的工程造价咨询机构(招标人根据情况选择)编制和复核。</w:t>
      </w:r>
    </w:p>
    <w:p w14:paraId="059C0AF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2.3最高投标限价公布内容</w:t>
      </w:r>
    </w:p>
    <w:p w14:paraId="6B0B6097">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2.3.1本项目设最高投标限价,最高投标限价见投标人须知前附表。</w:t>
      </w:r>
    </w:p>
    <w:p w14:paraId="29057B0A">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2.3.2投标人对最高投标限价有疑问的,可在投标人须知前附表规定的时间和方式向招标人或招标代理机构提出;招标人对最高投标限价若有调整,则在投标截止时间</w:t>
      </w:r>
      <w:r>
        <w:rPr>
          <w:rFonts w:hint="eastAsia" w:ascii="宋体" w:hAnsi="宋体" w:eastAsia="宋体" w:cs="宋体"/>
          <w:color w:val="auto"/>
          <w:kern w:val="2"/>
          <w:highlight w:val="none"/>
          <w:lang w:val="en-US" w:eastAsia="zh-CN"/>
        </w:rPr>
        <w:t>3</w:t>
      </w:r>
      <w:r>
        <w:rPr>
          <w:rFonts w:hint="eastAsia" w:ascii="宋体" w:hAnsi="宋体" w:eastAsia="宋体" w:cs="宋体"/>
          <w:color w:val="auto"/>
          <w:kern w:val="2"/>
          <w:highlight w:val="none"/>
        </w:rPr>
        <w:t>日前在</w:t>
      </w:r>
      <w:r>
        <w:rPr>
          <w:rFonts w:hint="eastAsia" w:ascii="宋体" w:hAnsi="宋体" w:eastAsia="宋体" w:cs="宋体"/>
          <w:color w:val="auto"/>
          <w:kern w:val="2"/>
          <w:highlight w:val="none"/>
          <w:u w:val="single"/>
        </w:rPr>
        <w:t>(最高投标限价调整文件发布的媒介名称)</w:t>
      </w:r>
      <w:r>
        <w:rPr>
          <w:rFonts w:hint="eastAsia" w:ascii="宋体" w:hAnsi="宋体" w:eastAsia="宋体" w:cs="宋体"/>
          <w:color w:val="auto"/>
          <w:kern w:val="2"/>
          <w:highlight w:val="none"/>
        </w:rPr>
        <w:t>上公示。投标人应自行查阅,招标代理机构不另行通知。</w:t>
      </w:r>
    </w:p>
    <w:p w14:paraId="0C65346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2.3.3公布的最高投标限价至少载明下列内容:</w:t>
      </w:r>
    </w:p>
    <w:p w14:paraId="074C75CA">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(1)最高投标限价的总价;</w:t>
      </w:r>
    </w:p>
    <w:p w14:paraId="286210FE">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(2)各单位工程的分部分项工程费;</w:t>
      </w:r>
    </w:p>
    <w:p w14:paraId="7BC02BC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(3)措施项目费（含绿色施工安全防护措施费及费率）;</w:t>
      </w:r>
    </w:p>
    <w:p w14:paraId="2CA4CD95">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(4)其他项目费（含安全责任险、环境保护税及费率）;</w:t>
      </w:r>
    </w:p>
    <w:p w14:paraId="081EFAE2">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(5)销项税额（应纳税额）;</w:t>
      </w:r>
    </w:p>
    <w:p w14:paraId="41049BCE">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(6)重点评审的工程量清单综合单价(含能计量的措施项目)和材料、设备单价;</w:t>
      </w:r>
    </w:p>
    <w:p w14:paraId="4B23495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(7)其它重要信息和数据(由招标人根据需要进行补充)。</w:t>
      </w:r>
    </w:p>
    <w:p w14:paraId="1B78048D">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2.4最高投标限价应按本章第2.1款的规定编制,不应上浮或下调。</w:t>
      </w:r>
    </w:p>
    <w:p w14:paraId="24E01204">
      <w:pPr>
        <w:pStyle w:val="8"/>
        <w:spacing w:before="0" w:after="0" w:line="360" w:lineRule="auto"/>
        <w:rPr>
          <w:rFonts w:hint="eastAsia" w:ascii="宋体" w:hAnsi="宋体" w:eastAsia="宋体" w:cs="宋体"/>
          <w:b w:val="0"/>
          <w:bCs w:val="0"/>
          <w:color w:val="auto"/>
          <w:sz w:val="30"/>
          <w:highlight w:val="none"/>
        </w:rPr>
      </w:pPr>
      <w:bookmarkStart w:id="1058" w:name="_Toc14286"/>
      <w:bookmarkStart w:id="1059" w:name="_Toc80006116"/>
      <w:bookmarkStart w:id="1060" w:name="_Toc80006226"/>
      <w:bookmarkStart w:id="1061" w:name="_Toc17439"/>
      <w:bookmarkStart w:id="1062" w:name="_Toc11071"/>
      <w:bookmarkStart w:id="1063" w:name="_Toc1598"/>
      <w:bookmarkStart w:id="1064" w:name="_Toc12280"/>
      <w:r>
        <w:rPr>
          <w:rFonts w:hint="eastAsia" w:ascii="宋体" w:hAnsi="宋体" w:eastAsia="宋体" w:cs="宋体"/>
          <w:b w:val="0"/>
          <w:bCs w:val="0"/>
          <w:color w:val="auto"/>
          <w:sz w:val="30"/>
          <w:highlight w:val="none"/>
        </w:rPr>
        <w:t>3.投标报价说明</w:t>
      </w:r>
      <w:bookmarkEnd w:id="1058"/>
      <w:bookmarkEnd w:id="1059"/>
      <w:bookmarkEnd w:id="1060"/>
      <w:bookmarkEnd w:id="1061"/>
      <w:bookmarkEnd w:id="1062"/>
      <w:bookmarkEnd w:id="1063"/>
      <w:bookmarkEnd w:id="1064"/>
    </w:p>
    <w:p w14:paraId="1E5C9E00">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kern w:val="2"/>
          <w:highlight w:val="none"/>
        </w:rPr>
        <w:t> 3.1投标报价应根据招标文件中的有关计价要求,并按照下列依据自主报价。</w:t>
      </w:r>
    </w:p>
    <w:p w14:paraId="5A87328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(1)本招标文件、招标工程量清单;</w:t>
      </w:r>
    </w:p>
    <w:p w14:paraId="0D7D65AD">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(2)《建设工程工程量清单计价规范》;</w:t>
      </w:r>
    </w:p>
    <w:p w14:paraId="4F0D78F8">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(3)《关于印发2020&lt;湖南省建设工程计价办法&gt;及&lt;湖南省建设工程消耗量标准&gt;的通知》(湘建价〔2020〕56号);</w:t>
      </w:r>
    </w:p>
    <w:p w14:paraId="0A88E828">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(4)企业定额和企业数据,湖南省建设行政主管部门颁发的建设工程消耗量标准,取费标准、计费程序;</w:t>
      </w:r>
    </w:p>
    <w:p w14:paraId="11D6A2FD">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(5)招标文件(包括工程量清单)的澄清、补充和修改文件;</w:t>
      </w:r>
    </w:p>
    <w:p w14:paraId="6589D57D">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(6)建设工程设计文件及相关资料;</w:t>
      </w:r>
    </w:p>
    <w:p w14:paraId="38AE33D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(7)施工现场情况、工程特点及拟定的投标施工组织设计或施工方案;</w:t>
      </w:r>
    </w:p>
    <w:p w14:paraId="05A6815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(8)与建设项目相关的标准、规范等技术资料;</w:t>
      </w:r>
    </w:p>
    <w:p w14:paraId="4B1C1D0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(9)市场价格信息或工程造价管理机构发布的工程造价信息;</w:t>
      </w:r>
    </w:p>
    <w:p w14:paraId="538603C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(10)其他的相关资料(招标人可根据有关规定进行细化);</w:t>
      </w:r>
    </w:p>
    <w:p w14:paraId="60C1B68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w:t>
      </w:r>
    </w:p>
    <w:p w14:paraId="36598798">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3.2工程量清单与计价表中列明的所有需要填写单价和合价的项目,投标人均应填写且只允许有一个报价。未填写单价和合价的项目,可视为此项费用已包括在已标价工程量清单中其他相关项目的单价和合价之中。结算时,此项目不得重新组价与调整。</w:t>
      </w:r>
    </w:p>
    <w:p w14:paraId="3FF8576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3.3工程量清单中标价的综合单价或金额,应包括所需人工费、材料费、施工机具使用费、企业管理费、利润,以及一定范围和幅度内风险的费用。所谓“一定范围和幅度内风险”是指合同约定的风险。</w:t>
      </w:r>
    </w:p>
    <w:p w14:paraId="26970151">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3.4“投标总价应当与分部分项工程费、措施项目费、其他项目费、增值税的合计金额一致。</w:t>
      </w:r>
    </w:p>
    <w:p w14:paraId="13E2A90D">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3.5分部分项工程项目和单价措施项目,应根据工程量清单项目中的特征描述确定综合单价。</w:t>
      </w:r>
    </w:p>
    <w:p w14:paraId="3DDC01D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3.6总价措施项目金额应根据招标文件和投标人拟定的施工组织设计计算,并列出其计算公式或计算方法。</w:t>
      </w:r>
    </w:p>
    <w:p w14:paraId="144D9F32">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3.7绿色施工安全防护措施项目应按国家或省级建设行政主管部门的规定计算,不得作为竞争性费用。</w:t>
      </w:r>
    </w:p>
    <w:p w14:paraId="5262591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3.8其他项目清单应按照下列要求报价</w:t>
      </w:r>
    </w:p>
    <w:p w14:paraId="33708C1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(1)暂列金额应按工程量清单中列出的金额填写;</w:t>
      </w:r>
    </w:p>
    <w:p w14:paraId="19C9B3E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(2)暂估价项目应按工程量清单中列出的金额填写;</w:t>
      </w:r>
    </w:p>
    <w:p w14:paraId="6E9EC313">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(3)计日工应按工程量清单中列出的项目和数量,参考国家、省级、行业建设主管部门颁发的计价文件及其计价办法和市场定价方法、类似工程计价方法及企业定额和数据确定综合单价计算计日工金额;</w:t>
      </w:r>
    </w:p>
    <w:p w14:paraId="22A5F512">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(4)总承包服务费应按工程量清单中列出的项目及其项目特征描述和招标文件中相应提出的服务范围、内容与要求自主确定;</w:t>
      </w:r>
    </w:p>
    <w:p w14:paraId="763D742A">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(5)安全责任险、环境保护税应按工程量清单中列出的项目,和国家或省级、行业建设主管部门的规定计算,不得作为竞争性费用。</w:t>
      </w:r>
    </w:p>
    <w:p w14:paraId="4B940DEB">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3.9增值税应按政府有关主管部门的规定计算费用,不得作为竞争性费用。</w:t>
      </w:r>
    </w:p>
    <w:p w14:paraId="5A1B5256">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3.10除招标文件有强制性规定以及不可竞争部分以外,投标报价由投标人自主确定,但不得低于工程成本。</w:t>
      </w:r>
    </w:p>
    <w:p w14:paraId="409A8EA7">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3.11工程量清单计价所涉及的生产资源(包括各类人工、材料、工程设备、施工设备、临时设施、临时用水、临时用电等)的投标价格,应根据自身的信息渠道和采购渠道,分析其市场价格水平,体现投标人自身的管理水平、技术水平和综合实力。</w:t>
      </w:r>
    </w:p>
    <w:p w14:paraId="04ECABEC">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3.12管理费应由投标人在保证不低于其成本的基础上做竞争性考虑;利润由投标人根据自身情况和综合实力做竞争性考虑。</w:t>
      </w:r>
    </w:p>
    <w:p w14:paraId="6054C66F">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3.13投标总价为投标人在投标文件中提出的各项支付金额的总和,为实施、完成招标工程并修补缺陷以及履行招标文件中约定的风险范围内的所有责任和义务所发生的全部费用。</w:t>
      </w:r>
    </w:p>
    <w:p w14:paraId="32310B9C">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3.14投标报价文件制作时所用的计价软件采用通过湖南省住房和城乡建设厅测评合格的软件。</w:t>
      </w:r>
    </w:p>
    <w:p w14:paraId="31A8C73E">
      <w:pPr>
        <w:pStyle w:val="8"/>
        <w:spacing w:before="0" w:after="0" w:line="360" w:lineRule="auto"/>
        <w:rPr>
          <w:rFonts w:hint="eastAsia" w:ascii="宋体" w:hAnsi="宋体" w:eastAsia="宋体" w:cs="宋体"/>
          <w:b w:val="0"/>
          <w:bCs w:val="0"/>
          <w:color w:val="auto"/>
          <w:sz w:val="30"/>
          <w:highlight w:val="none"/>
        </w:rPr>
      </w:pPr>
      <w:bookmarkStart w:id="1065" w:name="_Toc11007"/>
      <w:bookmarkStart w:id="1066" w:name="_Toc24911"/>
      <w:bookmarkStart w:id="1067" w:name="_Toc80006117"/>
      <w:bookmarkStart w:id="1068" w:name="_Toc24969"/>
      <w:bookmarkStart w:id="1069" w:name="_Toc29532"/>
      <w:bookmarkStart w:id="1070" w:name="_Toc80006227"/>
      <w:bookmarkStart w:id="1071" w:name="_Toc18303"/>
      <w:r>
        <w:rPr>
          <w:rFonts w:hint="eastAsia" w:ascii="宋体" w:hAnsi="宋体" w:eastAsia="宋体" w:cs="宋体"/>
          <w:b w:val="0"/>
          <w:bCs w:val="0"/>
          <w:color w:val="auto"/>
          <w:sz w:val="30"/>
          <w:highlight w:val="none"/>
        </w:rPr>
        <w:t>4.其他说明</w:t>
      </w:r>
      <w:bookmarkEnd w:id="1065"/>
      <w:bookmarkEnd w:id="1066"/>
      <w:bookmarkEnd w:id="1067"/>
      <w:bookmarkEnd w:id="1068"/>
      <w:bookmarkEnd w:id="1069"/>
      <w:bookmarkEnd w:id="1070"/>
      <w:bookmarkEnd w:id="1071"/>
    </w:p>
    <w:p w14:paraId="7F992F68">
      <w:pPr>
        <w:pStyle w:val="38"/>
        <w:shd w:val="clear" w:color="auto"/>
        <w:spacing w:before="0" w:beforeAutospacing="0" w:after="0" w:afterAutospacing="0" w:line="48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w:t>
      </w:r>
    </w:p>
    <w:p w14:paraId="6097430A">
      <w:pPr>
        <w:pStyle w:val="38"/>
        <w:shd w:val="clear" w:color="auto"/>
        <w:spacing w:before="0" w:beforeAutospacing="0" w:after="0" w:afterAutospacing="0" w:line="480" w:lineRule="atLeast"/>
        <w:textAlignment w:val="baseline"/>
        <w:rPr>
          <w:rFonts w:hint="eastAsia" w:ascii="宋体" w:hAnsi="宋体" w:eastAsia="宋体" w:cs="宋体"/>
          <w:color w:val="auto"/>
          <w:kern w:val="2"/>
          <w:highlight w:val="none"/>
        </w:rPr>
      </w:pPr>
      <w:r>
        <w:rPr>
          <w:rFonts w:hint="eastAsia" w:ascii="宋体" w:hAnsi="宋体" w:eastAsia="宋体" w:cs="宋体"/>
          <w:color w:val="auto"/>
          <w:kern w:val="2"/>
          <w:highlight w:val="none"/>
        </w:rPr>
        <w:t>   </w:t>
      </w:r>
    </w:p>
    <w:bookmarkEnd w:id="1050"/>
    <w:p w14:paraId="587E0E2D">
      <w:pPr>
        <w:pStyle w:val="8"/>
        <w:spacing w:before="0" w:after="0" w:line="360" w:lineRule="auto"/>
        <w:rPr>
          <w:rFonts w:hint="eastAsia" w:ascii="宋体" w:hAnsi="宋体" w:eastAsia="宋体" w:cs="宋体"/>
          <w:b w:val="0"/>
          <w:bCs w:val="0"/>
          <w:color w:val="auto"/>
          <w:sz w:val="30"/>
          <w:highlight w:val="none"/>
        </w:rPr>
      </w:pPr>
      <w:bookmarkStart w:id="1072" w:name="_Toc80006228"/>
      <w:bookmarkStart w:id="1073" w:name="_Toc7941"/>
      <w:bookmarkStart w:id="1074" w:name="_Toc9178544"/>
      <w:bookmarkStart w:id="1075" w:name="_Toc80006118"/>
      <w:bookmarkStart w:id="1076" w:name="_Toc15952"/>
      <w:bookmarkStart w:id="1077" w:name="_Toc6397"/>
      <w:bookmarkStart w:id="1078" w:name="_Toc7812"/>
      <w:bookmarkStart w:id="1079" w:name="_Toc32269"/>
      <w:r>
        <w:rPr>
          <w:rFonts w:hint="eastAsia" w:ascii="宋体" w:hAnsi="宋体" w:eastAsia="宋体" w:cs="宋体"/>
          <w:b w:val="0"/>
          <w:bCs w:val="0"/>
          <w:color w:val="auto"/>
          <w:sz w:val="30"/>
          <w:highlight w:val="none"/>
        </w:rPr>
        <w:t>5.工程量清单（另册）</w:t>
      </w:r>
      <w:bookmarkEnd w:id="1072"/>
      <w:bookmarkEnd w:id="1073"/>
      <w:bookmarkEnd w:id="1074"/>
      <w:bookmarkEnd w:id="1075"/>
      <w:bookmarkEnd w:id="1076"/>
      <w:bookmarkEnd w:id="1077"/>
      <w:bookmarkEnd w:id="1078"/>
      <w:bookmarkEnd w:id="1079"/>
    </w:p>
    <w:p w14:paraId="2A47B62A">
      <w:pPr>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请在</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下载。</w:t>
      </w:r>
      <w:r>
        <w:rPr>
          <w:rFonts w:hint="eastAsia" w:ascii="宋体" w:hAnsi="宋体" w:eastAsia="宋体" w:cs="宋体"/>
          <w:color w:val="auto"/>
          <w:highlight w:val="none"/>
        </w:rPr>
        <w:br w:type="page"/>
      </w:r>
    </w:p>
    <w:p w14:paraId="5494142B">
      <w:pPr>
        <w:jc w:val="center"/>
        <w:outlineLvl w:val="0"/>
        <w:rPr>
          <w:rFonts w:hint="eastAsia" w:ascii="宋体" w:hAnsi="宋体" w:eastAsia="宋体" w:cs="宋体"/>
          <w:b w:val="0"/>
          <w:bCs w:val="0"/>
          <w:color w:val="auto"/>
          <w:sz w:val="44"/>
          <w:szCs w:val="44"/>
          <w:highlight w:val="none"/>
        </w:rPr>
      </w:pPr>
      <w:bookmarkStart w:id="1080" w:name="_Toc80006119"/>
      <w:bookmarkStart w:id="1081" w:name="_Toc16677"/>
      <w:bookmarkStart w:id="1082" w:name="_Toc80006229"/>
      <w:bookmarkStart w:id="1083" w:name="_Toc22599"/>
      <w:bookmarkStart w:id="1084" w:name="_Toc7287"/>
      <w:bookmarkStart w:id="1085" w:name="_Toc300678501"/>
      <w:bookmarkStart w:id="1086" w:name="_Toc1628"/>
      <w:r>
        <w:rPr>
          <w:rFonts w:hint="eastAsia" w:ascii="宋体" w:hAnsi="宋体" w:eastAsia="宋体" w:cs="宋体"/>
          <w:b w:val="0"/>
          <w:bCs w:val="0"/>
          <w:color w:val="auto"/>
          <w:sz w:val="44"/>
          <w:szCs w:val="44"/>
          <w:highlight w:val="none"/>
        </w:rPr>
        <w:t>第  二  卷</w:t>
      </w:r>
      <w:bookmarkEnd w:id="1080"/>
      <w:bookmarkEnd w:id="1081"/>
      <w:bookmarkEnd w:id="1082"/>
      <w:bookmarkEnd w:id="1083"/>
      <w:bookmarkEnd w:id="1084"/>
      <w:bookmarkEnd w:id="1085"/>
      <w:bookmarkEnd w:id="1086"/>
    </w:p>
    <w:p w14:paraId="574779D9">
      <w:pPr>
        <w:rPr>
          <w:rFonts w:hint="eastAsia" w:ascii="宋体" w:hAnsi="宋体" w:eastAsia="宋体" w:cs="宋体"/>
          <w:color w:val="auto"/>
          <w:highlight w:val="none"/>
          <w:lang w:val="zh-CN"/>
        </w:rPr>
      </w:pPr>
    </w:p>
    <w:p w14:paraId="3AA1B853">
      <w:pPr>
        <w:rPr>
          <w:rFonts w:hint="eastAsia" w:ascii="宋体" w:hAnsi="宋体" w:eastAsia="宋体" w:cs="宋体"/>
          <w:color w:val="auto"/>
          <w:highlight w:val="none"/>
        </w:rPr>
      </w:pPr>
    </w:p>
    <w:p w14:paraId="00F01974">
      <w:pPr>
        <w:pStyle w:val="8"/>
        <w:spacing w:before="0" w:after="0"/>
        <w:jc w:val="center"/>
        <w:outlineLvl w:val="1"/>
        <w:rPr>
          <w:rFonts w:hint="eastAsia" w:ascii="宋体" w:hAnsi="宋体" w:eastAsia="宋体" w:cs="宋体"/>
          <w:b w:val="0"/>
          <w:color w:val="auto"/>
          <w:highlight w:val="none"/>
        </w:rPr>
      </w:pPr>
      <w:bookmarkStart w:id="1087" w:name="_Toc300678502"/>
      <w:bookmarkStart w:id="1088" w:name="_Toc22711"/>
      <w:bookmarkStart w:id="1089" w:name="_Toc8372"/>
      <w:bookmarkStart w:id="1090" w:name="_Toc80006120"/>
      <w:bookmarkStart w:id="1091" w:name="_Toc7883"/>
      <w:bookmarkStart w:id="1092" w:name="_Toc29980"/>
      <w:bookmarkStart w:id="1093" w:name="_Toc2619"/>
      <w:bookmarkStart w:id="1094" w:name="_Toc20924"/>
      <w:bookmarkStart w:id="1095" w:name="_Toc80006230"/>
      <w:bookmarkStart w:id="1096" w:name="_Toc22960"/>
      <w:r>
        <w:rPr>
          <w:rFonts w:hint="eastAsia" w:ascii="宋体" w:hAnsi="宋体" w:eastAsia="宋体" w:cs="宋体"/>
          <w:b w:val="0"/>
          <w:bCs w:val="0"/>
          <w:color w:val="auto"/>
          <w:highlight w:val="none"/>
        </w:rPr>
        <w:t>第六章  图  纸</w:t>
      </w:r>
      <w:bookmarkEnd w:id="1087"/>
      <w:r>
        <w:rPr>
          <w:rFonts w:hint="eastAsia" w:ascii="宋体" w:hAnsi="宋体" w:eastAsia="宋体" w:cs="宋体"/>
          <w:b w:val="0"/>
          <w:color w:val="auto"/>
          <w:highlight w:val="none"/>
        </w:rPr>
        <w:t>（另册）</w:t>
      </w:r>
      <w:bookmarkEnd w:id="1088"/>
      <w:bookmarkEnd w:id="1089"/>
      <w:bookmarkEnd w:id="1090"/>
      <w:bookmarkEnd w:id="1091"/>
      <w:bookmarkEnd w:id="1092"/>
      <w:bookmarkEnd w:id="1093"/>
      <w:bookmarkEnd w:id="1094"/>
      <w:bookmarkEnd w:id="1095"/>
      <w:bookmarkEnd w:id="1096"/>
    </w:p>
    <w:p w14:paraId="21C4BA3F">
      <w:pPr>
        <w:spacing w:line="420" w:lineRule="exact"/>
        <w:jc w:val="center"/>
        <w:rPr>
          <w:rFonts w:hint="eastAsia" w:ascii="宋体" w:hAnsi="宋体" w:eastAsia="宋体" w:cs="宋体"/>
          <w:color w:val="auto"/>
          <w:highlight w:val="none"/>
        </w:rPr>
      </w:pPr>
      <w:bookmarkStart w:id="1097" w:name="_Toc6164"/>
      <w:r>
        <w:rPr>
          <w:rFonts w:hint="eastAsia" w:ascii="宋体" w:hAnsi="宋体" w:eastAsia="宋体" w:cs="宋体"/>
          <w:color w:val="auto"/>
          <w:highlight w:val="none"/>
        </w:rPr>
        <w:t>请在</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下载</w:t>
      </w:r>
      <w:bookmarkEnd w:id="1097"/>
    </w:p>
    <w:p w14:paraId="2A9FCCFE">
      <w:pPr>
        <w:pStyle w:val="189"/>
        <w:rPr>
          <w:rFonts w:hint="eastAsia" w:ascii="宋体" w:hAnsi="宋体" w:eastAsia="宋体" w:cs="宋体"/>
          <w:color w:val="auto"/>
          <w:highlight w:val="none"/>
        </w:rPr>
      </w:pPr>
      <w:bookmarkStart w:id="1098" w:name="_Toc79998407"/>
      <w:bookmarkStart w:id="1099" w:name="_Toc179632801"/>
      <w:bookmarkStart w:id="1100" w:name="_Toc4288"/>
      <w:bookmarkStart w:id="1101" w:name="_Toc9178547"/>
      <w:bookmarkStart w:id="1102" w:name="_Toc152042572"/>
      <w:bookmarkStart w:id="1103" w:name="_Toc152045783"/>
      <w:bookmarkStart w:id="1104" w:name="_Toc26917"/>
      <w:bookmarkStart w:id="1105" w:name="_Toc144974852"/>
      <w:bookmarkStart w:id="1106" w:name="_Toc14138"/>
      <w:bookmarkStart w:id="1107" w:name="_Toc80006121"/>
      <w:bookmarkStart w:id="1108" w:name="_Toc7940"/>
      <w:bookmarkStart w:id="1109" w:name="_Toc80006231"/>
      <w:r>
        <w:rPr>
          <w:rFonts w:hint="eastAsia" w:ascii="宋体" w:hAnsi="宋体" w:eastAsia="宋体" w:cs="宋体"/>
          <w:color w:val="auto"/>
          <w:highlight w:val="none"/>
        </w:rPr>
        <w:t>1. 图纸目录</w:t>
      </w:r>
      <w:bookmarkEnd w:id="1098"/>
      <w:bookmarkEnd w:id="1099"/>
      <w:bookmarkEnd w:id="1100"/>
      <w:bookmarkEnd w:id="1101"/>
      <w:bookmarkEnd w:id="1102"/>
      <w:bookmarkEnd w:id="1103"/>
      <w:bookmarkEnd w:id="1104"/>
      <w:bookmarkEnd w:id="1105"/>
      <w:bookmarkEnd w:id="1106"/>
      <w:bookmarkEnd w:id="1107"/>
      <w:bookmarkEnd w:id="1108"/>
      <w:bookmarkEnd w:id="1109"/>
    </w:p>
    <w:p w14:paraId="16DF70F2">
      <w:pPr>
        <w:spacing w:line="400" w:lineRule="exact"/>
        <w:rPr>
          <w:rFonts w:hint="eastAsia" w:ascii="宋体" w:hAnsi="宋体" w:eastAsia="宋体" w:cs="宋体"/>
          <w:color w:val="auto"/>
          <w:highlight w:val="none"/>
        </w:rPr>
      </w:pPr>
    </w:p>
    <w:tbl>
      <w:tblPr>
        <w:tblStyle w:val="42"/>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1570"/>
        <w:gridCol w:w="1570"/>
        <w:gridCol w:w="1570"/>
        <w:gridCol w:w="1570"/>
        <w:gridCol w:w="2249"/>
      </w:tblGrid>
      <w:tr w14:paraId="7EFF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036B780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570" w:type="dxa"/>
            <w:vAlign w:val="center"/>
          </w:tcPr>
          <w:p w14:paraId="5A9E7D7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图名</w:t>
            </w:r>
          </w:p>
        </w:tc>
        <w:tc>
          <w:tcPr>
            <w:tcW w:w="1570" w:type="dxa"/>
            <w:vAlign w:val="center"/>
          </w:tcPr>
          <w:p w14:paraId="0E745E2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图号</w:t>
            </w:r>
          </w:p>
        </w:tc>
        <w:tc>
          <w:tcPr>
            <w:tcW w:w="1570" w:type="dxa"/>
            <w:vAlign w:val="center"/>
          </w:tcPr>
          <w:p w14:paraId="4093802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版本</w:t>
            </w:r>
          </w:p>
        </w:tc>
        <w:tc>
          <w:tcPr>
            <w:tcW w:w="1570" w:type="dxa"/>
            <w:vAlign w:val="center"/>
          </w:tcPr>
          <w:p w14:paraId="1C53D5F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出图日期</w:t>
            </w:r>
          </w:p>
        </w:tc>
        <w:tc>
          <w:tcPr>
            <w:tcW w:w="2249" w:type="dxa"/>
            <w:vAlign w:val="center"/>
          </w:tcPr>
          <w:p w14:paraId="14AC314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7434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2FCEAE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E4EAC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96AA3C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ACE485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0E90719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6DE7997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BFE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0AA2C3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C91579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029D78A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8E69E1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4FE59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72164C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E02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3249AC9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8EC6C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388F4B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060038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393E8F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5118F04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16F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487326F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363432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7A9FFC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08258E8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52C19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3EA9782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20A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42FE9F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98D4B8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7B3137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6E49EA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A5139F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3F6B00E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16E6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605CF7F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CD9EE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43BC8B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1CE12D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95B34C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2661BA8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F83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1573EA3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E00BA1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EAED9D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8A9E72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B9007C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1AD119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73B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3D68EE3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8A9B2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0C2685D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74BACC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87BCB1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2805E8D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E79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3BFA0DB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20F1E7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B600A5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A520B9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DE5805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0086F46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941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7A33FC2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9BAF8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F4CC5D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2BD9E7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5660EA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244D2CB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FB5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5D02AE3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88D22A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51A4ED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4FC8E2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AA3E4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4051BAC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9D47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0A2F9AB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12956C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958302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0CA05C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569F9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07E7D0E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5A9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7A01047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1D4B07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1B8F0D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08DA0E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030B59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2777EE7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06F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2B3F06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74A77C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7A240C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0ACAE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021788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77D273C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FDC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27848D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32ED32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03FB68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2C37E27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3B211F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6AC93A3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43B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7B6A641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3AC5A4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0D2A94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620CED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CB0FCD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28AC0E8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0CD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777084E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5556420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705AD1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71AF2B3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C491F8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427D6D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7CD2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570" w:type="dxa"/>
            <w:vAlign w:val="center"/>
          </w:tcPr>
          <w:p w14:paraId="76DD80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1AC71F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1BA8983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4CE15F5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70" w:type="dxa"/>
            <w:vAlign w:val="center"/>
          </w:tcPr>
          <w:p w14:paraId="3FB25F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249" w:type="dxa"/>
            <w:vAlign w:val="center"/>
          </w:tcPr>
          <w:p w14:paraId="57706F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6D6F3BD3">
      <w:pPr>
        <w:spacing w:line="400" w:lineRule="exact"/>
        <w:rPr>
          <w:rFonts w:hint="eastAsia" w:ascii="宋体" w:hAnsi="宋体" w:eastAsia="宋体" w:cs="宋体"/>
          <w:color w:val="auto"/>
          <w:highlight w:val="none"/>
        </w:rPr>
      </w:pPr>
      <w:bookmarkStart w:id="1110" w:name="_Toc179632802"/>
      <w:bookmarkStart w:id="1111" w:name="_Toc144974853"/>
      <w:bookmarkStart w:id="1112" w:name="_Toc152042573"/>
      <w:bookmarkStart w:id="1113" w:name="_Toc9178548"/>
      <w:bookmarkStart w:id="1114" w:name="_Toc152045784"/>
    </w:p>
    <w:p w14:paraId="6D79F079">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 图纸</w:t>
      </w:r>
      <w:bookmarkEnd w:id="1110"/>
      <w:bookmarkEnd w:id="1111"/>
      <w:bookmarkEnd w:id="1112"/>
      <w:bookmarkEnd w:id="1113"/>
      <w:bookmarkEnd w:id="1114"/>
    </w:p>
    <w:p w14:paraId="5793A83D">
      <w:pPr>
        <w:spacing w:line="400" w:lineRule="exact"/>
        <w:rPr>
          <w:rFonts w:hint="eastAsia" w:ascii="宋体" w:hAnsi="宋体" w:eastAsia="宋体" w:cs="宋体"/>
          <w:color w:val="auto"/>
          <w:highlight w:val="none"/>
        </w:rPr>
      </w:pPr>
    </w:p>
    <w:p w14:paraId="615FB91E">
      <w:pPr>
        <w:spacing w:line="42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21B8F27">
      <w:pPr>
        <w:jc w:val="center"/>
        <w:outlineLvl w:val="0"/>
        <w:rPr>
          <w:rFonts w:hint="eastAsia" w:ascii="宋体" w:hAnsi="宋体" w:eastAsia="宋体" w:cs="宋体"/>
          <w:b w:val="0"/>
          <w:bCs w:val="0"/>
          <w:color w:val="auto"/>
          <w:sz w:val="44"/>
          <w:szCs w:val="44"/>
          <w:highlight w:val="none"/>
        </w:rPr>
      </w:pPr>
      <w:bookmarkStart w:id="1115" w:name="_Toc16441"/>
      <w:bookmarkStart w:id="1116" w:name="_Toc300678505"/>
      <w:bookmarkStart w:id="1117" w:name="_Toc25127"/>
      <w:bookmarkStart w:id="1118" w:name="_Toc24716"/>
      <w:bookmarkStart w:id="1119" w:name="_Toc80006122"/>
      <w:bookmarkStart w:id="1120" w:name="_Toc80006232"/>
      <w:bookmarkStart w:id="1121" w:name="_Toc18569"/>
      <w:r>
        <w:rPr>
          <w:rFonts w:hint="eastAsia" w:ascii="宋体" w:hAnsi="宋体" w:eastAsia="宋体" w:cs="宋体"/>
          <w:b w:val="0"/>
          <w:bCs w:val="0"/>
          <w:color w:val="auto"/>
          <w:sz w:val="44"/>
          <w:szCs w:val="44"/>
          <w:highlight w:val="none"/>
        </w:rPr>
        <w:t>第  三  卷</w:t>
      </w:r>
      <w:bookmarkEnd w:id="1115"/>
      <w:bookmarkEnd w:id="1116"/>
      <w:bookmarkEnd w:id="1117"/>
      <w:bookmarkEnd w:id="1118"/>
      <w:bookmarkEnd w:id="1119"/>
      <w:bookmarkEnd w:id="1120"/>
      <w:bookmarkEnd w:id="1121"/>
    </w:p>
    <w:p w14:paraId="5BE4EB1B">
      <w:pPr>
        <w:pStyle w:val="7"/>
        <w:spacing w:before="0" w:after="0" w:line="240" w:lineRule="auto"/>
        <w:jc w:val="center"/>
        <w:outlineLvl w:val="9"/>
        <w:rPr>
          <w:rFonts w:hint="eastAsia" w:ascii="宋体" w:hAnsi="宋体" w:eastAsia="宋体" w:cs="宋体"/>
          <w:b w:val="0"/>
          <w:bCs w:val="0"/>
          <w:color w:val="auto"/>
          <w:highlight w:val="none"/>
        </w:rPr>
      </w:pPr>
      <w:bookmarkStart w:id="1122" w:name="_Toc80006233"/>
      <w:bookmarkStart w:id="1123" w:name="_Toc300678506"/>
      <w:bookmarkStart w:id="1124" w:name="_Toc80006123"/>
    </w:p>
    <w:p w14:paraId="4F694391">
      <w:pPr>
        <w:pStyle w:val="8"/>
        <w:spacing w:before="0" w:after="0" w:line="240" w:lineRule="auto"/>
        <w:jc w:val="center"/>
        <w:outlineLvl w:val="1"/>
        <w:rPr>
          <w:rFonts w:hint="eastAsia" w:ascii="宋体" w:hAnsi="宋体" w:eastAsia="宋体" w:cs="宋体"/>
          <w:b w:val="0"/>
          <w:bCs w:val="0"/>
          <w:color w:val="auto"/>
          <w:highlight w:val="none"/>
        </w:rPr>
      </w:pPr>
      <w:bookmarkStart w:id="1125" w:name="_Toc28198"/>
      <w:bookmarkStart w:id="1126" w:name="_Toc31218"/>
      <w:bookmarkStart w:id="1127" w:name="_Toc23063"/>
      <w:bookmarkStart w:id="1128" w:name="_Toc10513"/>
      <w:bookmarkStart w:id="1129" w:name="_Toc18514"/>
      <w:bookmarkStart w:id="1130" w:name="_Toc24428"/>
      <w:bookmarkStart w:id="1131" w:name="_Toc6035"/>
      <w:r>
        <w:rPr>
          <w:rFonts w:hint="eastAsia" w:ascii="宋体" w:hAnsi="宋体" w:eastAsia="宋体" w:cs="宋体"/>
          <w:b w:val="0"/>
          <w:bCs w:val="0"/>
          <w:color w:val="auto"/>
          <w:highlight w:val="none"/>
        </w:rPr>
        <w:t>第七章  技术标准和要求</w:t>
      </w:r>
      <w:bookmarkEnd w:id="1122"/>
      <w:bookmarkEnd w:id="1123"/>
      <w:bookmarkEnd w:id="1124"/>
      <w:bookmarkEnd w:id="1125"/>
      <w:bookmarkEnd w:id="1126"/>
      <w:bookmarkEnd w:id="1127"/>
      <w:bookmarkEnd w:id="1128"/>
      <w:bookmarkEnd w:id="1129"/>
      <w:bookmarkEnd w:id="1130"/>
      <w:bookmarkEnd w:id="1131"/>
    </w:p>
    <w:p w14:paraId="34F4B7BE">
      <w:pPr>
        <w:pStyle w:val="8"/>
        <w:spacing w:line="240" w:lineRule="auto"/>
        <w:jc w:val="center"/>
        <w:rPr>
          <w:rFonts w:hint="eastAsia" w:ascii="宋体" w:hAnsi="宋体" w:eastAsia="宋体" w:cs="宋体"/>
          <w:b w:val="0"/>
          <w:bCs w:val="0"/>
          <w:color w:val="auto"/>
          <w:sz w:val="30"/>
          <w:highlight w:val="none"/>
        </w:rPr>
      </w:pPr>
      <w:bookmarkStart w:id="1132" w:name="_Toc80006124"/>
      <w:bookmarkStart w:id="1133" w:name="_Toc14748"/>
      <w:bookmarkStart w:id="1134" w:name="_Toc948"/>
      <w:bookmarkStart w:id="1135" w:name="_Toc12822"/>
      <w:bookmarkStart w:id="1136" w:name="_Toc300678507"/>
      <w:bookmarkStart w:id="1137" w:name="_Toc12"/>
      <w:bookmarkStart w:id="1138" w:name="_Toc25323"/>
      <w:bookmarkStart w:id="1139" w:name="_Toc80006234"/>
      <w:r>
        <w:rPr>
          <w:rFonts w:hint="eastAsia" w:ascii="宋体" w:hAnsi="宋体" w:eastAsia="宋体" w:cs="宋体"/>
          <w:b w:val="0"/>
          <w:bCs w:val="0"/>
          <w:color w:val="auto"/>
          <w:sz w:val="30"/>
          <w:highlight w:val="none"/>
        </w:rPr>
        <w:t>第一节 一般要求</w:t>
      </w:r>
      <w:bookmarkEnd w:id="1132"/>
      <w:bookmarkEnd w:id="1133"/>
      <w:bookmarkEnd w:id="1134"/>
      <w:bookmarkEnd w:id="1135"/>
      <w:bookmarkEnd w:id="1136"/>
      <w:bookmarkEnd w:id="1137"/>
      <w:bookmarkEnd w:id="1138"/>
      <w:bookmarkEnd w:id="1139"/>
    </w:p>
    <w:p w14:paraId="59F4D690">
      <w:pPr>
        <w:pStyle w:val="9"/>
        <w:keepNext/>
        <w:keepLines/>
        <w:widowControl w:val="0"/>
        <w:jc w:val="left"/>
        <w:rPr>
          <w:rFonts w:hint="eastAsia" w:ascii="宋体" w:hAnsi="宋体" w:eastAsia="宋体" w:cs="宋体"/>
          <w:b w:val="0"/>
          <w:bCs w:val="0"/>
          <w:color w:val="auto"/>
          <w:sz w:val="28"/>
          <w:szCs w:val="28"/>
          <w:highlight w:val="none"/>
        </w:rPr>
      </w:pPr>
      <w:bookmarkStart w:id="1140" w:name="_Toc80006125"/>
      <w:bookmarkStart w:id="1141" w:name="_Toc9178552"/>
      <w:bookmarkStart w:id="1142" w:name="_Toc24703"/>
      <w:bookmarkStart w:id="1143" w:name="_Toc79998855"/>
      <w:bookmarkStart w:id="1144" w:name="_Toc80006235"/>
      <w:bookmarkStart w:id="1145" w:name="_Toc22040"/>
      <w:bookmarkStart w:id="1146" w:name="_Toc300678508"/>
      <w:bookmarkStart w:id="1147" w:name="_Toc79998411"/>
      <w:r>
        <w:rPr>
          <w:rFonts w:hint="eastAsia" w:ascii="宋体" w:hAnsi="宋体" w:eastAsia="宋体" w:cs="宋体"/>
          <w:b w:val="0"/>
          <w:bCs w:val="0"/>
          <w:color w:val="auto"/>
          <w:sz w:val="28"/>
          <w:szCs w:val="28"/>
          <w:highlight w:val="none"/>
        </w:rPr>
        <w:t>1.工程说明</w:t>
      </w:r>
      <w:bookmarkEnd w:id="1140"/>
      <w:bookmarkEnd w:id="1141"/>
      <w:bookmarkEnd w:id="1142"/>
      <w:bookmarkEnd w:id="1143"/>
      <w:bookmarkEnd w:id="1144"/>
      <w:bookmarkEnd w:id="1145"/>
      <w:bookmarkEnd w:id="1146"/>
      <w:bookmarkEnd w:id="1147"/>
    </w:p>
    <w:p w14:paraId="772A4B9A">
      <w:pPr>
        <w:pStyle w:val="10"/>
        <w:rPr>
          <w:rFonts w:hint="eastAsia" w:ascii="宋体" w:hAnsi="宋体" w:eastAsia="宋体" w:cs="宋体"/>
          <w:b w:val="0"/>
          <w:bCs w:val="0"/>
          <w:color w:val="auto"/>
          <w:sz w:val="24"/>
          <w:highlight w:val="none"/>
        </w:rPr>
      </w:pPr>
      <w:bookmarkStart w:id="1148" w:name="_Toc300678509"/>
      <w:r>
        <w:rPr>
          <w:rFonts w:hint="eastAsia" w:ascii="宋体" w:hAnsi="宋体" w:eastAsia="宋体" w:cs="宋体"/>
          <w:b w:val="0"/>
          <w:bCs w:val="0"/>
          <w:color w:val="auto"/>
          <w:sz w:val="24"/>
          <w:highlight w:val="none"/>
        </w:rPr>
        <w:t>1.1 工程概况</w:t>
      </w:r>
      <w:bookmarkEnd w:id="1148"/>
    </w:p>
    <w:p w14:paraId="03FFF51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l.1.1 本工程基本情况如下：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28FE8B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本工程施工场地（现场）具体地理位置如下：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4DEB079">
      <w:pPr>
        <w:pStyle w:val="10"/>
        <w:rPr>
          <w:rFonts w:hint="eastAsia" w:ascii="宋体" w:hAnsi="宋体" w:eastAsia="宋体" w:cs="宋体"/>
          <w:b w:val="0"/>
          <w:bCs w:val="0"/>
          <w:color w:val="auto"/>
          <w:sz w:val="24"/>
          <w:highlight w:val="none"/>
        </w:rPr>
      </w:pPr>
      <w:bookmarkStart w:id="1149" w:name="_Toc300678510"/>
      <w:r>
        <w:rPr>
          <w:rFonts w:hint="eastAsia" w:ascii="宋体" w:hAnsi="宋体" w:eastAsia="宋体" w:cs="宋体"/>
          <w:b w:val="0"/>
          <w:bCs w:val="0"/>
          <w:color w:val="auto"/>
          <w:sz w:val="24"/>
          <w:highlight w:val="none"/>
        </w:rPr>
        <w:t>1.2 现场条件和周围环境</w:t>
      </w:r>
      <w:bookmarkEnd w:id="1149"/>
    </w:p>
    <w:p w14:paraId="5386959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14:paraId="1399BC3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施工场地（现场）临时供水管径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C2AC3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施工场地（现场）临时排污管径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732E75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施工场地（现场）临时雨水管径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913E50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施工现场临时供电容量（变压器输出功率）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8A44A7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 现场条件和周围环境的其他资料和信息数据如下：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068AE9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1.2.4 承包人被认为已在本工程投标阶段踏勘现场时充分了解本工程现场条件和周围环境，并已在其投标时就此给予了充分的考虑。 </w:t>
      </w:r>
    </w:p>
    <w:p w14:paraId="0689AEBD">
      <w:pPr>
        <w:pStyle w:val="10"/>
        <w:rPr>
          <w:rFonts w:hint="eastAsia" w:ascii="宋体" w:hAnsi="宋体" w:eastAsia="宋体" w:cs="宋体"/>
          <w:b w:val="0"/>
          <w:bCs w:val="0"/>
          <w:color w:val="auto"/>
          <w:sz w:val="24"/>
          <w:highlight w:val="none"/>
        </w:rPr>
      </w:pPr>
      <w:bookmarkStart w:id="1150" w:name="_Toc300678511"/>
      <w:r>
        <w:rPr>
          <w:rFonts w:hint="eastAsia" w:ascii="宋体" w:hAnsi="宋体" w:eastAsia="宋体" w:cs="宋体"/>
          <w:b w:val="0"/>
          <w:bCs w:val="0"/>
          <w:color w:val="auto"/>
          <w:sz w:val="24"/>
          <w:highlight w:val="none"/>
        </w:rPr>
        <w:t>1.3 地质及水文资料</w:t>
      </w:r>
      <w:bookmarkEnd w:id="1150"/>
    </w:p>
    <w:p w14:paraId="51BAC96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 现场地质及水文资料和信息数据如下：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A0BBFB0">
      <w:pPr>
        <w:pStyle w:val="10"/>
        <w:rPr>
          <w:rFonts w:hint="eastAsia" w:ascii="宋体" w:hAnsi="宋体" w:eastAsia="宋体" w:cs="宋体"/>
          <w:b w:val="0"/>
          <w:bCs w:val="0"/>
          <w:color w:val="auto"/>
          <w:sz w:val="24"/>
          <w:highlight w:val="none"/>
        </w:rPr>
      </w:pPr>
      <w:bookmarkStart w:id="1151" w:name="_Toc300678512"/>
      <w:r>
        <w:rPr>
          <w:rFonts w:hint="eastAsia" w:ascii="宋体" w:hAnsi="宋体" w:eastAsia="宋体" w:cs="宋体"/>
          <w:b w:val="0"/>
          <w:bCs w:val="0"/>
          <w:color w:val="auto"/>
          <w:sz w:val="24"/>
          <w:highlight w:val="none"/>
        </w:rPr>
        <w:t>1.4 资料和信息的使用</w:t>
      </w:r>
      <w:bookmarkEnd w:id="1151"/>
    </w:p>
    <w:p w14:paraId="3AE05D5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14:paraId="372703B4">
      <w:pPr>
        <w:pStyle w:val="9"/>
        <w:keepNext/>
        <w:keepLines/>
        <w:widowControl w:val="0"/>
        <w:jc w:val="left"/>
        <w:rPr>
          <w:rFonts w:hint="eastAsia" w:ascii="宋体" w:hAnsi="宋体" w:eastAsia="宋体" w:cs="宋体"/>
          <w:b w:val="0"/>
          <w:bCs w:val="0"/>
          <w:color w:val="auto"/>
          <w:sz w:val="28"/>
          <w:szCs w:val="28"/>
          <w:highlight w:val="none"/>
        </w:rPr>
      </w:pPr>
      <w:bookmarkStart w:id="1152" w:name="_Toc80006126"/>
      <w:bookmarkStart w:id="1153" w:name="_Toc79998856"/>
      <w:bookmarkStart w:id="1154" w:name="_Toc9178553"/>
      <w:bookmarkStart w:id="1155" w:name="_Toc79998412"/>
      <w:bookmarkStart w:id="1156" w:name="_Toc300678513"/>
      <w:bookmarkStart w:id="1157" w:name="_Toc9910"/>
      <w:bookmarkStart w:id="1158" w:name="_Toc80006236"/>
      <w:bookmarkStart w:id="1159" w:name="_Toc23797"/>
      <w:r>
        <w:rPr>
          <w:rFonts w:hint="eastAsia" w:ascii="宋体" w:hAnsi="宋体" w:eastAsia="宋体" w:cs="宋体"/>
          <w:b w:val="0"/>
          <w:bCs w:val="0"/>
          <w:color w:val="auto"/>
          <w:sz w:val="28"/>
          <w:szCs w:val="28"/>
          <w:highlight w:val="none"/>
        </w:rPr>
        <w:t>2.承包范围</w:t>
      </w:r>
      <w:bookmarkEnd w:id="1152"/>
      <w:bookmarkEnd w:id="1153"/>
      <w:bookmarkEnd w:id="1154"/>
      <w:bookmarkEnd w:id="1155"/>
      <w:bookmarkEnd w:id="1156"/>
      <w:bookmarkEnd w:id="1157"/>
      <w:bookmarkEnd w:id="1158"/>
      <w:bookmarkEnd w:id="1159"/>
    </w:p>
    <w:p w14:paraId="5821080B">
      <w:pPr>
        <w:pStyle w:val="10"/>
        <w:rPr>
          <w:rFonts w:hint="eastAsia" w:ascii="宋体" w:hAnsi="宋体" w:eastAsia="宋体" w:cs="宋体"/>
          <w:b w:val="0"/>
          <w:bCs w:val="0"/>
          <w:color w:val="auto"/>
          <w:sz w:val="24"/>
          <w:highlight w:val="none"/>
        </w:rPr>
      </w:pPr>
      <w:bookmarkStart w:id="1160" w:name="_Toc300678514"/>
      <w:r>
        <w:rPr>
          <w:rFonts w:hint="eastAsia" w:ascii="宋体" w:hAnsi="宋体" w:eastAsia="宋体" w:cs="宋体"/>
          <w:b w:val="0"/>
          <w:bCs w:val="0"/>
          <w:color w:val="auto"/>
          <w:sz w:val="24"/>
          <w:highlight w:val="none"/>
        </w:rPr>
        <w:t>2.1 承包范围</w:t>
      </w:r>
      <w:bookmarkEnd w:id="1160"/>
    </w:p>
    <w:p w14:paraId="2E19ED6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 承包人自行施工范围</w:t>
      </w:r>
    </w:p>
    <w:p w14:paraId="02AAA21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本工程承包人自行施工的工程范围如下：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761092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 承包范围内的暂估价项目</w:t>
      </w:r>
    </w:p>
    <w:p w14:paraId="3334ECC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2.1.2.1 承包范围内以暂估价形式实施的专业工程见第五章“工程量清单”中“其他项目措施费表”。</w:t>
      </w:r>
    </w:p>
    <w:p w14:paraId="2B5E4617">
      <w:pPr>
        <w:tabs>
          <w:tab w:val="left" w:pos="126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2.1.2.2 承包范围内以暂估价形式实施的材料和工程设备见第五章“工程量清单”中的“材料(工程设备)暂估单价表”。</w:t>
      </w:r>
    </w:p>
    <w:p w14:paraId="154DCD1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2.1.2.3 上述暂估价项目与本节第2.1.1项承包人自行施工范围的工作界面划分如下：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21ECFC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 承包范围内的暂列金额项目</w:t>
      </w:r>
    </w:p>
    <w:p w14:paraId="4C73B6B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14:paraId="05C4DA0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14:paraId="4CFB0E4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2.1.3.3 暂列金额是否实际发生、其再分和合并等均不应成为承包人要求任何追加费用和（或）延长工期的理由。</w:t>
      </w:r>
    </w:p>
    <w:p w14:paraId="13F613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2.1.3.4 关于暂列金额的其他说明：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10B0D3F">
      <w:pPr>
        <w:pStyle w:val="10"/>
        <w:rPr>
          <w:rFonts w:hint="eastAsia" w:ascii="宋体" w:hAnsi="宋体" w:eastAsia="宋体" w:cs="宋体"/>
          <w:b w:val="0"/>
          <w:bCs w:val="0"/>
          <w:color w:val="auto"/>
          <w:sz w:val="24"/>
          <w:highlight w:val="none"/>
        </w:rPr>
      </w:pPr>
      <w:bookmarkStart w:id="1161" w:name="_Toc300678515"/>
      <w:r>
        <w:rPr>
          <w:rFonts w:hint="eastAsia" w:ascii="宋体" w:hAnsi="宋体" w:eastAsia="宋体" w:cs="宋体"/>
          <w:b w:val="0"/>
          <w:bCs w:val="0"/>
          <w:color w:val="auto"/>
          <w:sz w:val="24"/>
          <w:highlight w:val="none"/>
        </w:rPr>
        <w:t>2.2 发包人发包专业工程和发包人供应的材料和工程设备</w:t>
      </w:r>
      <w:bookmarkEnd w:id="1161"/>
    </w:p>
    <w:p w14:paraId="4E937D1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 由发包人发包的专业工程属于与本工程有关的其他工程，不属于承包人的承包范围。发包人发包的专业工程如下：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A7E3FD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 由发包人供应的材料和工程设备不属于承包人的承包范围。发包人供应的材料和工程设备见合同附件二“发包人供应的材料和工程设备一览表”。</w:t>
      </w:r>
    </w:p>
    <w:p w14:paraId="0B1B4A6A">
      <w:pPr>
        <w:pStyle w:val="10"/>
        <w:rPr>
          <w:rFonts w:hint="eastAsia" w:ascii="宋体" w:hAnsi="宋体" w:eastAsia="宋体" w:cs="宋体"/>
          <w:b w:val="0"/>
          <w:bCs w:val="0"/>
          <w:color w:val="auto"/>
          <w:sz w:val="24"/>
          <w:highlight w:val="none"/>
        </w:rPr>
      </w:pPr>
      <w:bookmarkStart w:id="1162" w:name="_Toc300678516"/>
      <w:r>
        <w:rPr>
          <w:rFonts w:hint="eastAsia" w:ascii="宋体" w:hAnsi="宋体" w:eastAsia="宋体" w:cs="宋体"/>
          <w:b w:val="0"/>
          <w:bCs w:val="0"/>
          <w:color w:val="auto"/>
          <w:sz w:val="24"/>
          <w:highlight w:val="none"/>
        </w:rPr>
        <w:t>2.3 承包人与发包人发包专业工程承包人的工作界面</w:t>
      </w:r>
      <w:bookmarkEnd w:id="1162"/>
    </w:p>
    <w:p w14:paraId="2D566E5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 承包人与发包人发包专业工程承包人以及与发包人供应的材料和设备的供应商之间的工作界面划分如下：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5F7AABD">
      <w:pPr>
        <w:pStyle w:val="10"/>
        <w:rPr>
          <w:rFonts w:hint="eastAsia" w:ascii="宋体" w:hAnsi="宋体" w:eastAsia="宋体" w:cs="宋体"/>
          <w:b w:val="0"/>
          <w:bCs w:val="0"/>
          <w:color w:val="auto"/>
          <w:sz w:val="24"/>
          <w:highlight w:val="none"/>
        </w:rPr>
      </w:pPr>
      <w:bookmarkStart w:id="1163" w:name="_Toc300678517"/>
      <w:r>
        <w:rPr>
          <w:rFonts w:hint="eastAsia" w:ascii="宋体" w:hAnsi="宋体" w:eastAsia="宋体" w:cs="宋体"/>
          <w:b w:val="0"/>
          <w:bCs w:val="0"/>
          <w:color w:val="auto"/>
          <w:sz w:val="24"/>
          <w:highlight w:val="none"/>
        </w:rPr>
        <w:t>2.4 承包人需要为发包人和监理人提供的现场办公条件和设施</w:t>
      </w:r>
      <w:bookmarkEnd w:id="1163"/>
    </w:p>
    <w:p w14:paraId="6C2A4B4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 承包人需要为发包人和监理人提供的现场办公条件和设施及其详细要求如下：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5DEFDD3">
      <w:pPr>
        <w:pStyle w:val="9"/>
        <w:keepNext/>
        <w:keepLines/>
        <w:widowControl w:val="0"/>
        <w:jc w:val="left"/>
        <w:rPr>
          <w:rFonts w:hint="eastAsia" w:ascii="宋体" w:hAnsi="宋体" w:eastAsia="宋体" w:cs="宋体"/>
          <w:b w:val="0"/>
          <w:bCs w:val="0"/>
          <w:color w:val="auto"/>
          <w:sz w:val="28"/>
          <w:szCs w:val="28"/>
          <w:highlight w:val="none"/>
        </w:rPr>
      </w:pPr>
      <w:bookmarkStart w:id="1164" w:name="_Toc80006127"/>
      <w:bookmarkStart w:id="1165" w:name="_Toc79998413"/>
      <w:bookmarkStart w:id="1166" w:name="_Toc20839"/>
      <w:bookmarkStart w:id="1167" w:name="_Toc80006237"/>
      <w:bookmarkStart w:id="1168" w:name="_Toc300678518"/>
      <w:bookmarkStart w:id="1169" w:name="_Toc27634"/>
      <w:bookmarkStart w:id="1170" w:name="_Toc79998857"/>
      <w:bookmarkStart w:id="1171" w:name="_Toc9178554"/>
      <w:r>
        <w:rPr>
          <w:rFonts w:hint="eastAsia" w:ascii="宋体" w:hAnsi="宋体" w:eastAsia="宋体" w:cs="宋体"/>
          <w:b w:val="0"/>
          <w:bCs w:val="0"/>
          <w:color w:val="auto"/>
          <w:sz w:val="28"/>
          <w:szCs w:val="28"/>
          <w:highlight w:val="none"/>
        </w:rPr>
        <w:t>3.工期要求</w:t>
      </w:r>
      <w:bookmarkEnd w:id="1164"/>
      <w:bookmarkEnd w:id="1165"/>
      <w:bookmarkEnd w:id="1166"/>
      <w:bookmarkEnd w:id="1167"/>
      <w:bookmarkEnd w:id="1168"/>
      <w:bookmarkEnd w:id="1169"/>
      <w:bookmarkEnd w:id="1170"/>
      <w:bookmarkEnd w:id="1171"/>
    </w:p>
    <w:p w14:paraId="2A26119D">
      <w:pPr>
        <w:pStyle w:val="10"/>
        <w:rPr>
          <w:rFonts w:hint="eastAsia" w:ascii="宋体" w:hAnsi="宋体" w:eastAsia="宋体" w:cs="宋体"/>
          <w:b w:val="0"/>
          <w:bCs w:val="0"/>
          <w:color w:val="auto"/>
          <w:sz w:val="24"/>
          <w:highlight w:val="none"/>
        </w:rPr>
      </w:pPr>
      <w:bookmarkStart w:id="1172" w:name="_Toc300678519"/>
      <w:r>
        <w:rPr>
          <w:rFonts w:hint="eastAsia" w:ascii="宋体" w:hAnsi="宋体" w:eastAsia="宋体" w:cs="宋体"/>
          <w:b w:val="0"/>
          <w:bCs w:val="0"/>
          <w:color w:val="auto"/>
          <w:sz w:val="24"/>
          <w:highlight w:val="none"/>
        </w:rPr>
        <w:t>3.1 合同工期</w:t>
      </w:r>
      <w:bookmarkEnd w:id="1172"/>
    </w:p>
    <w:p w14:paraId="6D31906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本工程合同工期和计划开、竣工日期为承包人在投标函附录中承诺的工期和计划开、竣工日期，并在合同协议书中载明。</w:t>
      </w:r>
    </w:p>
    <w:p w14:paraId="25078056">
      <w:pPr>
        <w:pStyle w:val="10"/>
        <w:rPr>
          <w:rFonts w:hint="eastAsia" w:ascii="宋体" w:hAnsi="宋体" w:eastAsia="宋体" w:cs="宋体"/>
          <w:b w:val="0"/>
          <w:bCs w:val="0"/>
          <w:color w:val="auto"/>
          <w:sz w:val="24"/>
          <w:highlight w:val="none"/>
        </w:rPr>
      </w:pPr>
      <w:bookmarkStart w:id="1173" w:name="_Toc300678520"/>
      <w:r>
        <w:rPr>
          <w:rFonts w:hint="eastAsia" w:ascii="宋体" w:hAnsi="宋体" w:eastAsia="宋体" w:cs="宋体"/>
          <w:b w:val="0"/>
          <w:bCs w:val="0"/>
          <w:color w:val="auto"/>
          <w:sz w:val="24"/>
          <w:highlight w:val="none"/>
        </w:rPr>
        <w:t>3.2 关于工期的一般规定</w:t>
      </w:r>
      <w:bookmarkEnd w:id="1173"/>
    </w:p>
    <w:p w14:paraId="36DE00E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 承包人在投标函中承诺的工期和计划开、竣工日期之间发生矛盾或者不一致时，以承包人承诺的工期为准。实际开工日期以合同条款约定的监理人发出的开工通知中载明的开工日期为准。</w:t>
      </w:r>
    </w:p>
    <w:p w14:paraId="7B7804A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14:paraId="058BCA9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 承包人在投标函附录中所承诺的工期应当包括实施并完成本节上述2.1.2项规定的暂估价项目和上述2.1.3项规定的实际可能发生的暂列金额在内的所有工作的工期。</w:t>
      </w:r>
    </w:p>
    <w:p w14:paraId="3FE09611">
      <w:pPr>
        <w:pStyle w:val="9"/>
        <w:keepNext/>
        <w:keepLines/>
        <w:widowControl w:val="0"/>
        <w:jc w:val="left"/>
        <w:rPr>
          <w:rFonts w:hint="eastAsia" w:ascii="宋体" w:hAnsi="宋体" w:eastAsia="宋体" w:cs="宋体"/>
          <w:b w:val="0"/>
          <w:bCs w:val="0"/>
          <w:color w:val="auto"/>
          <w:sz w:val="28"/>
          <w:szCs w:val="28"/>
          <w:highlight w:val="none"/>
        </w:rPr>
      </w:pPr>
      <w:bookmarkStart w:id="1174" w:name="_Toc80006128"/>
      <w:bookmarkStart w:id="1175" w:name="_Toc80006238"/>
      <w:bookmarkStart w:id="1176" w:name="_Toc24547"/>
      <w:bookmarkStart w:id="1177" w:name="_Toc79998858"/>
      <w:bookmarkStart w:id="1178" w:name="_Toc79998414"/>
      <w:bookmarkStart w:id="1179" w:name="_Toc8077"/>
      <w:bookmarkStart w:id="1180" w:name="_Toc9178555"/>
      <w:bookmarkStart w:id="1181" w:name="_Toc300678521"/>
      <w:r>
        <w:rPr>
          <w:rFonts w:hint="eastAsia" w:ascii="宋体" w:hAnsi="宋体" w:eastAsia="宋体" w:cs="宋体"/>
          <w:b w:val="0"/>
          <w:bCs w:val="0"/>
          <w:color w:val="auto"/>
          <w:sz w:val="28"/>
          <w:szCs w:val="28"/>
          <w:highlight w:val="none"/>
        </w:rPr>
        <w:t>4.质量要求</w:t>
      </w:r>
      <w:bookmarkEnd w:id="1174"/>
      <w:bookmarkEnd w:id="1175"/>
      <w:bookmarkEnd w:id="1176"/>
      <w:bookmarkEnd w:id="1177"/>
      <w:bookmarkEnd w:id="1178"/>
      <w:bookmarkEnd w:id="1179"/>
      <w:bookmarkEnd w:id="1180"/>
      <w:bookmarkEnd w:id="1181"/>
    </w:p>
    <w:p w14:paraId="7E9C4AD2">
      <w:pPr>
        <w:pStyle w:val="10"/>
        <w:rPr>
          <w:rFonts w:hint="eastAsia" w:ascii="宋体" w:hAnsi="宋体" w:eastAsia="宋体" w:cs="宋体"/>
          <w:b w:val="0"/>
          <w:bCs w:val="0"/>
          <w:color w:val="auto"/>
          <w:sz w:val="24"/>
          <w:highlight w:val="none"/>
        </w:rPr>
      </w:pPr>
      <w:bookmarkStart w:id="1182" w:name="_Toc300678522"/>
      <w:r>
        <w:rPr>
          <w:rFonts w:hint="eastAsia" w:ascii="宋体" w:hAnsi="宋体" w:eastAsia="宋体" w:cs="宋体"/>
          <w:b w:val="0"/>
          <w:bCs w:val="0"/>
          <w:color w:val="auto"/>
          <w:sz w:val="24"/>
          <w:highlight w:val="none"/>
        </w:rPr>
        <w:t>4.1 质量标准</w:t>
      </w:r>
      <w:bookmarkEnd w:id="1182"/>
    </w:p>
    <w:p w14:paraId="642657B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 本工程要求的质量标准为符合现行国家有关工程施工验收规范和标准的要求合格。</w:t>
      </w:r>
    </w:p>
    <w:p w14:paraId="562C4D4E">
      <w:pPr>
        <w:pStyle w:val="10"/>
        <w:rPr>
          <w:rFonts w:hint="eastAsia" w:ascii="宋体" w:hAnsi="宋体" w:eastAsia="宋体" w:cs="宋体"/>
          <w:b w:val="0"/>
          <w:bCs w:val="0"/>
          <w:color w:val="auto"/>
          <w:sz w:val="24"/>
          <w:highlight w:val="none"/>
        </w:rPr>
      </w:pPr>
      <w:bookmarkStart w:id="1183" w:name="_Toc300678523"/>
      <w:r>
        <w:rPr>
          <w:rFonts w:hint="eastAsia" w:ascii="宋体" w:hAnsi="宋体" w:eastAsia="宋体" w:cs="宋体"/>
          <w:b w:val="0"/>
          <w:bCs w:val="0"/>
          <w:color w:val="auto"/>
          <w:sz w:val="24"/>
          <w:highlight w:val="none"/>
        </w:rPr>
        <w:t>4.2 特殊质量要求</w:t>
      </w:r>
      <w:bookmarkEnd w:id="1183"/>
    </w:p>
    <w:p w14:paraId="3E35E81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4.2.1 有关本工程质量方面的特殊要求如下：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F3A03BB">
      <w:pPr>
        <w:pStyle w:val="9"/>
        <w:keepNext/>
        <w:keepLines/>
        <w:widowControl w:val="0"/>
        <w:jc w:val="left"/>
        <w:rPr>
          <w:rFonts w:hint="eastAsia" w:ascii="宋体" w:hAnsi="宋体" w:eastAsia="宋体" w:cs="宋体"/>
          <w:b w:val="0"/>
          <w:bCs w:val="0"/>
          <w:color w:val="auto"/>
          <w:sz w:val="28"/>
          <w:szCs w:val="28"/>
          <w:highlight w:val="none"/>
        </w:rPr>
      </w:pPr>
      <w:bookmarkStart w:id="1184" w:name="_Toc7221"/>
      <w:bookmarkStart w:id="1185" w:name="_Toc23032"/>
      <w:bookmarkStart w:id="1186" w:name="_Toc80006129"/>
      <w:bookmarkStart w:id="1187" w:name="_Toc300678524"/>
      <w:bookmarkStart w:id="1188" w:name="_Toc79998859"/>
      <w:bookmarkStart w:id="1189" w:name="_Toc79998415"/>
      <w:bookmarkStart w:id="1190" w:name="_Toc9178556"/>
      <w:bookmarkStart w:id="1191" w:name="_Toc80006239"/>
      <w:r>
        <w:rPr>
          <w:rFonts w:hint="eastAsia" w:ascii="宋体" w:hAnsi="宋体" w:eastAsia="宋体" w:cs="宋体"/>
          <w:b w:val="0"/>
          <w:bCs w:val="0"/>
          <w:color w:val="auto"/>
          <w:sz w:val="28"/>
          <w:szCs w:val="28"/>
          <w:highlight w:val="none"/>
        </w:rPr>
        <w:t>5.适用规范和标准</w:t>
      </w:r>
      <w:bookmarkEnd w:id="1184"/>
      <w:bookmarkEnd w:id="1185"/>
      <w:bookmarkEnd w:id="1186"/>
      <w:bookmarkEnd w:id="1187"/>
      <w:bookmarkEnd w:id="1188"/>
      <w:bookmarkEnd w:id="1189"/>
      <w:bookmarkEnd w:id="1190"/>
      <w:bookmarkEnd w:id="1191"/>
    </w:p>
    <w:p w14:paraId="14511CDD">
      <w:pPr>
        <w:pStyle w:val="10"/>
        <w:rPr>
          <w:rFonts w:hint="eastAsia" w:ascii="宋体" w:hAnsi="宋体" w:eastAsia="宋体" w:cs="宋体"/>
          <w:b w:val="0"/>
          <w:bCs w:val="0"/>
          <w:color w:val="auto"/>
          <w:sz w:val="24"/>
          <w:highlight w:val="none"/>
        </w:rPr>
      </w:pPr>
      <w:bookmarkStart w:id="1192" w:name="_Toc300678525"/>
      <w:r>
        <w:rPr>
          <w:rFonts w:hint="eastAsia" w:ascii="宋体" w:hAnsi="宋体" w:eastAsia="宋体" w:cs="宋体"/>
          <w:b w:val="0"/>
          <w:bCs w:val="0"/>
          <w:color w:val="auto"/>
          <w:sz w:val="24"/>
          <w:highlight w:val="none"/>
        </w:rPr>
        <w:t>5.1 适用的规范、标准和规程</w:t>
      </w:r>
      <w:bookmarkEnd w:id="1192"/>
    </w:p>
    <w:p w14:paraId="6AFF284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5.1.1 除合同另有约定外，本工程适用现行国家、行业和地方规范、标准和规程。适用于本工程的国家、行业和地方的规范、标准和规范等的名录见本章第三节。</w:t>
      </w:r>
    </w:p>
    <w:p w14:paraId="6A1F05A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构成合同文件的任何内容与适用的规范、标准和规程之间出现矛盾，承包人应书面要求监理人予以澄清，除监理人有特别指示外，承包人应按照其中要求最严格的标准执行。</w:t>
      </w:r>
    </w:p>
    <w:p w14:paraId="363F986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的约定办理。</w:t>
      </w:r>
    </w:p>
    <w:p w14:paraId="28CE84FF">
      <w:pPr>
        <w:pStyle w:val="10"/>
        <w:ind w:firstLine="480" w:firstLineChars="200"/>
        <w:rPr>
          <w:rFonts w:hint="eastAsia" w:ascii="宋体" w:hAnsi="宋体" w:eastAsia="宋体" w:cs="宋体"/>
          <w:b w:val="0"/>
          <w:bCs w:val="0"/>
          <w:color w:val="auto"/>
          <w:sz w:val="24"/>
          <w:highlight w:val="none"/>
        </w:rPr>
      </w:pPr>
      <w:bookmarkStart w:id="1193" w:name="_Toc300678526"/>
      <w:r>
        <w:rPr>
          <w:rFonts w:hint="eastAsia" w:ascii="宋体" w:hAnsi="宋体" w:eastAsia="宋体" w:cs="宋体"/>
          <w:b w:val="0"/>
          <w:bCs w:val="0"/>
          <w:color w:val="auto"/>
          <w:sz w:val="24"/>
          <w:highlight w:val="none"/>
        </w:rPr>
        <w:t>5.2 特殊技术标准和要求</w:t>
      </w:r>
      <w:bookmarkEnd w:id="1193"/>
    </w:p>
    <w:p w14:paraId="63F707C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5.2.1 适用本工程的特殊技术标准和要求见本章第二节。</w:t>
      </w:r>
    </w:p>
    <w:p w14:paraId="06BB13F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5.2.2 有合同约束力的图纸和其他设计文件中的有关文字说明是本节的组成内容。</w:t>
      </w:r>
    </w:p>
    <w:p w14:paraId="19499475">
      <w:pPr>
        <w:pStyle w:val="9"/>
        <w:keepNext/>
        <w:keepLines/>
        <w:widowControl w:val="0"/>
        <w:jc w:val="left"/>
        <w:rPr>
          <w:rFonts w:hint="eastAsia" w:ascii="宋体" w:hAnsi="宋体" w:eastAsia="宋体" w:cs="宋体"/>
          <w:b w:val="0"/>
          <w:bCs w:val="0"/>
          <w:color w:val="auto"/>
          <w:sz w:val="28"/>
          <w:szCs w:val="28"/>
          <w:highlight w:val="none"/>
        </w:rPr>
      </w:pPr>
      <w:bookmarkStart w:id="1194" w:name="_Toc300678527"/>
      <w:bookmarkStart w:id="1195" w:name="_Toc80006240"/>
      <w:bookmarkStart w:id="1196" w:name="_Toc79998860"/>
      <w:bookmarkStart w:id="1197" w:name="_Toc79998416"/>
      <w:bookmarkStart w:id="1198" w:name="_Toc80006130"/>
      <w:bookmarkStart w:id="1199" w:name="_Toc9178557"/>
      <w:bookmarkStart w:id="1200" w:name="_Toc13727"/>
      <w:bookmarkStart w:id="1201" w:name="_Toc1583"/>
      <w:r>
        <w:rPr>
          <w:rFonts w:hint="eastAsia" w:ascii="宋体" w:hAnsi="宋体" w:eastAsia="宋体" w:cs="宋体"/>
          <w:b w:val="0"/>
          <w:bCs w:val="0"/>
          <w:color w:val="auto"/>
          <w:sz w:val="28"/>
          <w:szCs w:val="28"/>
          <w:highlight w:val="none"/>
        </w:rPr>
        <w:t>6.安全文明施工</w:t>
      </w:r>
      <w:bookmarkEnd w:id="1194"/>
      <w:bookmarkEnd w:id="1195"/>
      <w:bookmarkEnd w:id="1196"/>
      <w:bookmarkEnd w:id="1197"/>
      <w:bookmarkEnd w:id="1198"/>
      <w:bookmarkEnd w:id="1199"/>
      <w:bookmarkEnd w:id="1200"/>
      <w:bookmarkEnd w:id="1201"/>
    </w:p>
    <w:p w14:paraId="173A79CE">
      <w:pPr>
        <w:pStyle w:val="10"/>
        <w:rPr>
          <w:rFonts w:hint="eastAsia" w:ascii="宋体" w:hAnsi="宋体" w:eastAsia="宋体" w:cs="宋体"/>
          <w:b w:val="0"/>
          <w:bCs w:val="0"/>
          <w:color w:val="auto"/>
          <w:sz w:val="24"/>
          <w:highlight w:val="none"/>
        </w:rPr>
      </w:pPr>
      <w:bookmarkStart w:id="1202" w:name="_Toc300678528"/>
      <w:r>
        <w:rPr>
          <w:rFonts w:hint="eastAsia" w:ascii="宋体" w:hAnsi="宋体" w:eastAsia="宋体" w:cs="宋体"/>
          <w:b w:val="0"/>
          <w:bCs w:val="0"/>
          <w:color w:val="auto"/>
          <w:sz w:val="24"/>
          <w:highlight w:val="none"/>
        </w:rPr>
        <w:t>6.1 安全防护</w:t>
      </w:r>
      <w:bookmarkEnd w:id="1202"/>
    </w:p>
    <w:p w14:paraId="3933CE6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 在工程施工、竣工、交付及修补任何缺陷的过程中，承包人应当始终遵守国家和地方有关安全生产的法律、法规、规范、标准和规程等，按照合同条款的约定履行其安全施工职责。</w:t>
      </w:r>
    </w:p>
    <w:p w14:paraId="10B09A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6.1.2 承包人应坚持“安全第一，预防为主”的方针，建立、健全安全生产责任制度和安全生产教育培训制度。在整个工程施工期间，承包人应在施工场地（现场）设立、提供和维护并在有关工作完成或竣工后撤除：</w:t>
      </w:r>
    </w:p>
    <w:p w14:paraId="19B431F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（1）设立在现场入口显著位置的现场施工总平面图、总平面管理、安全生产、文明施工、环境保护、质量控制、材料管理等的规章制度和主要参建单位名称和工程概况等说明的图板；</w:t>
      </w:r>
    </w:p>
    <w:p w14:paraId="6A768BB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（2）为确保工程安全施工须设立的足够的标志、宣传画、标语、指示牌、警告牌、火警、匪警和急救电话提示牌等等；</w:t>
      </w:r>
    </w:p>
    <w:p w14:paraId="4AB4120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（3）洞口和临边位置的安全防护设施，包括护身栏杆、脚手架、洞口盖板和加筋、竖井防护栏杆、防护棚、防护网、坡道等等；</w:t>
      </w:r>
    </w:p>
    <w:p w14:paraId="12BE03A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（4）安全带、安全绳、安全帽、安全网、绝缘鞋、绝缘手套、防护口罩和防护衣等安全生产用品；</w:t>
      </w:r>
    </w:p>
    <w:p w14:paraId="20E47DC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（5）所有机械设备包括各类电动工具的安全保护和接地装置和操作说明；</w:t>
      </w:r>
    </w:p>
    <w:p w14:paraId="0ADA8DF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（6）装备良好的临时急救站和配备称职的医护人员；</w:t>
      </w:r>
    </w:p>
    <w:p w14:paraId="7E7EB93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（7）主要作业场所和临时安全疏散通道24小时36伏安全照明和必要的警示等以防止各种可能的事故；</w:t>
      </w:r>
    </w:p>
    <w:p w14:paraId="613C75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（8）足够数量的和合格的手提灭火器；</w:t>
      </w:r>
    </w:p>
    <w:p w14:paraId="7357571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（9）装备良好的易燃易爆物品仓库和相应的使用管理制度；</w:t>
      </w:r>
    </w:p>
    <w:p w14:paraId="74DF66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（10）对涉及明火施工的工作制定诸如用火证等的管理制度；</w:t>
      </w:r>
    </w:p>
    <w:p w14:paraId="1079B09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（11）其他：</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63C026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6.1.3 安全文明施工费用必须专款专用，承包人应对其由于安全文明施工费用和施工安全措施不到位而发生的安全事故承担全部责任。</w:t>
      </w:r>
    </w:p>
    <w:p w14:paraId="6985B12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14:paraId="1F90AF6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14:paraId="0260D85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14:paraId="68281BA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14:paraId="5FC279C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14:paraId="7789A6F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14:paraId="7DA765D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14:paraId="39D3DDC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14:paraId="6E5B479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14:paraId="652D6C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6.1.13 承包人应成立应急救援小组，配备必要的应急救援器材和设备，制定灾害和生产安全事故的应急救援预案，并将应急救援预案报送监理人。应急救援预案应能随时组织应救专职人员、并定期组织演练。</w:t>
      </w:r>
    </w:p>
    <w:p w14:paraId="0ED0008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14:paraId="5A390A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14:paraId="63263E2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6.1.16 承包人应按照合同条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14:paraId="38880E3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6.1.17 承包人还应根据有关法律、法规、规定和条例等的要求，制定一套安全生产应急措施和程序，保证一旦出现任何安全事故，能立即保护好现场，抢救伤员和财产，保证施工生产的正常进行，防止损失扩大。</w:t>
      </w:r>
    </w:p>
    <w:p w14:paraId="11C8EA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6.1.18 安全防护方面的其他要求如下：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41FD061">
      <w:pPr>
        <w:pStyle w:val="10"/>
        <w:rPr>
          <w:rFonts w:hint="eastAsia" w:ascii="宋体" w:hAnsi="宋体" w:eastAsia="宋体" w:cs="宋体"/>
          <w:b w:val="0"/>
          <w:bCs w:val="0"/>
          <w:color w:val="auto"/>
          <w:sz w:val="24"/>
          <w:highlight w:val="none"/>
        </w:rPr>
      </w:pPr>
      <w:bookmarkStart w:id="1203" w:name="_Toc300678529"/>
      <w:r>
        <w:rPr>
          <w:rFonts w:hint="eastAsia" w:ascii="宋体" w:hAnsi="宋体" w:eastAsia="宋体" w:cs="宋体"/>
          <w:b w:val="0"/>
          <w:bCs w:val="0"/>
          <w:color w:val="auto"/>
          <w:sz w:val="24"/>
          <w:highlight w:val="none"/>
        </w:rPr>
        <w:t>6.2 临时消防</w:t>
      </w:r>
      <w:bookmarkEnd w:id="1203"/>
    </w:p>
    <w:p w14:paraId="31827C2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6.2.1 承包人应建立消防安全责任制度，制定用火、用电和使用易燃易爆等危险品的消防安全管理制度和操作规程。各项制度和规程等应满足相关法律法规和政府消防管理机构的要求。</w:t>
      </w:r>
    </w:p>
    <w:p w14:paraId="4A7CB4A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14:paraId="5F451B9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6.2.3 承包人应当成立由项目主要负责人担任组长的临时消防组或消防队，宣传消防基本知识和基本操作培训，组织消防演练，保证一旦发生火灾，能够组织有效的自救，保护生命和财产安全。</w:t>
      </w:r>
    </w:p>
    <w:p w14:paraId="0B18D15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6.2.4 施工场地（现场）内的易燃、易爆物品应单独和安全地存放，设专人进行存放和领用管理。施工场地（现场）储有或正在使用易燃、易爆或可燃材料时或有明火施工的工序，应当实行严格的“用火证”管理制度。</w:t>
      </w:r>
    </w:p>
    <w:p w14:paraId="1326968D">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6.2.5 临时消防方面的其他要求如下：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3CDB531">
      <w:pPr>
        <w:pStyle w:val="10"/>
        <w:rPr>
          <w:rFonts w:hint="eastAsia" w:ascii="宋体" w:hAnsi="宋体" w:eastAsia="宋体" w:cs="宋体"/>
          <w:b w:val="0"/>
          <w:bCs w:val="0"/>
          <w:color w:val="auto"/>
          <w:sz w:val="24"/>
          <w:highlight w:val="none"/>
        </w:rPr>
      </w:pPr>
      <w:bookmarkStart w:id="1204" w:name="_Toc300678530"/>
      <w:r>
        <w:rPr>
          <w:rFonts w:hint="eastAsia" w:ascii="宋体" w:hAnsi="宋体" w:eastAsia="宋体" w:cs="宋体"/>
          <w:b w:val="0"/>
          <w:bCs w:val="0"/>
          <w:color w:val="auto"/>
          <w:sz w:val="24"/>
          <w:highlight w:val="none"/>
        </w:rPr>
        <w:t>6.3 临时供电</w:t>
      </w:r>
      <w:bookmarkEnd w:id="1204"/>
    </w:p>
    <w:p w14:paraId="3EAC0AE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14:paraId="3E6D60C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14:paraId="088D22B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14:paraId="464BC5BE">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14:paraId="4E20A5A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6.3.5 凡可能漏电伤人或易受雷击的电器及建筑物均应设置接地和避雷装置。承包人应负责避雷装置的采购、安装、管理和维修，并建立定期检查制度。</w:t>
      </w:r>
    </w:p>
    <w:p w14:paraId="40607C77">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6.3.6 临时用电方面的其他要求如下：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30D2601">
      <w:pPr>
        <w:pStyle w:val="10"/>
        <w:rPr>
          <w:rFonts w:hint="eastAsia" w:ascii="宋体" w:hAnsi="宋体" w:eastAsia="宋体" w:cs="宋体"/>
          <w:b w:val="0"/>
          <w:bCs w:val="0"/>
          <w:color w:val="auto"/>
          <w:sz w:val="24"/>
          <w:highlight w:val="none"/>
        </w:rPr>
      </w:pPr>
      <w:bookmarkStart w:id="1205" w:name="_Toc300678531"/>
      <w:r>
        <w:rPr>
          <w:rFonts w:hint="eastAsia" w:ascii="宋体" w:hAnsi="宋体" w:eastAsia="宋体" w:cs="宋体"/>
          <w:b w:val="0"/>
          <w:bCs w:val="0"/>
          <w:color w:val="auto"/>
          <w:sz w:val="24"/>
          <w:highlight w:val="none"/>
        </w:rPr>
        <w:t>6.4 劳动保护</w:t>
      </w:r>
      <w:bookmarkEnd w:id="1205"/>
    </w:p>
    <w:p w14:paraId="43E8392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14:paraId="4C8F77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14:paraId="37FEEAE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14:paraId="2765919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14:paraId="004FDF6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6.4.5 承包人应在现场设立专门的临时医疗站，配备足够的设施、药物和称职的医务人员，承包人还应准备急救担架，用于一旦发生安全事故时对受伤人员的急救。</w:t>
      </w:r>
    </w:p>
    <w:p w14:paraId="2577E1A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6.4.6 劳动保护方面的其他要求如下：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A77B0A">
      <w:pPr>
        <w:pStyle w:val="10"/>
        <w:rPr>
          <w:rFonts w:hint="eastAsia" w:ascii="宋体" w:hAnsi="宋体" w:eastAsia="宋体" w:cs="宋体"/>
          <w:b w:val="0"/>
          <w:bCs w:val="0"/>
          <w:color w:val="auto"/>
          <w:sz w:val="24"/>
          <w:highlight w:val="none"/>
        </w:rPr>
      </w:pPr>
      <w:bookmarkStart w:id="1206" w:name="_Toc300678532"/>
      <w:r>
        <w:rPr>
          <w:rFonts w:hint="eastAsia" w:ascii="宋体" w:hAnsi="宋体" w:eastAsia="宋体" w:cs="宋体"/>
          <w:b w:val="0"/>
          <w:bCs w:val="0"/>
          <w:color w:val="auto"/>
          <w:sz w:val="24"/>
          <w:highlight w:val="none"/>
        </w:rPr>
        <w:t>6.5 脚手架</w:t>
      </w:r>
      <w:bookmarkEnd w:id="1206"/>
    </w:p>
    <w:p w14:paraId="580D311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14:paraId="3DD5AFE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6.5.2 所有脚手架，尤其是大型、复杂、高耸和非常规脚手架，要编制专项施工方案，还应当经过安全验算，脚手架安全验算结果必须报送监理人核查后方可实施。</w:t>
      </w:r>
    </w:p>
    <w:p w14:paraId="4406B41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6.5.3 搭设爬架、挂架、超高脚手架等特种或新型脚手架时，承包人应确保此类脚手架的安全性和保证此类脚手架已经过有关行政管理部门允许使用的批准，并承担与此有关的一切费用。</w:t>
      </w:r>
    </w:p>
    <w:p w14:paraId="573B063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6.5.4 承包人应当加强脚手架的日常安全巡查，及时对其中的安全隐患进行整改，确保脚手架使用安全。雨、雪、雾、霜和大风等天气后，承包人必须对脚手架进行安全巡查，并及时消除安全隐患。</w:t>
      </w:r>
    </w:p>
    <w:p w14:paraId="510F44C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14:paraId="5DEEF62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6.5.6 脚手架的其他要求如下：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F7BF918">
      <w:pPr>
        <w:pStyle w:val="10"/>
        <w:rPr>
          <w:rFonts w:hint="eastAsia" w:ascii="宋体" w:hAnsi="宋体" w:eastAsia="宋体" w:cs="宋体"/>
          <w:b w:val="0"/>
          <w:bCs w:val="0"/>
          <w:color w:val="auto"/>
          <w:sz w:val="24"/>
          <w:highlight w:val="none"/>
        </w:rPr>
      </w:pPr>
      <w:bookmarkStart w:id="1207" w:name="_Toc300678533"/>
      <w:r>
        <w:rPr>
          <w:rFonts w:hint="eastAsia" w:ascii="宋体" w:hAnsi="宋体" w:eastAsia="宋体" w:cs="宋体"/>
          <w:b w:val="0"/>
          <w:bCs w:val="0"/>
          <w:color w:val="auto"/>
          <w:sz w:val="24"/>
          <w:highlight w:val="none"/>
        </w:rPr>
        <w:t>6.6 施工安全措施计划</w:t>
      </w:r>
      <w:bookmarkEnd w:id="1207"/>
    </w:p>
    <w:p w14:paraId="11D6A02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6.6.1 承包人应根据《中华人民共和国安全生产法》、《职业健康安全管理体系规范》、《中华人民共和国消防法》、《中华人民共和国道路交通安全法》、《中华人民共和国传染病防治法实施办法》和地方有关的法规等，按照合同条款的约定，编制一份施工安全措施计划，报送监理人审批。</w:t>
      </w:r>
    </w:p>
    <w:p w14:paraId="71DB091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6.6.2 施工安全措施计划是承包人阐明其安全管理方针、管理体系、安全制度和安全措施等的文件，其内容应当反映现行法律法规规定的和合同条款约定的以及本条上述约定的承包人安全职责，包括但不限于：</w:t>
      </w:r>
    </w:p>
    <w:p w14:paraId="515AD86F">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（1）施工安全管理机构的设置；</w:t>
      </w:r>
    </w:p>
    <w:p w14:paraId="77E181BA">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（2）专职安全管理人员的配备；</w:t>
      </w:r>
    </w:p>
    <w:p w14:paraId="2F7B7301">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（3）安全责任制度和管理措施；</w:t>
      </w:r>
    </w:p>
    <w:p w14:paraId="15DD3DD2">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（4）安全教育和培训制度及管理措施；</w:t>
      </w:r>
    </w:p>
    <w:p w14:paraId="09219520">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（5）各项安全生产规章制度和操作规程；</w:t>
      </w:r>
    </w:p>
    <w:p w14:paraId="0366D5F0">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（6）各项施工安全措施和防护措施；</w:t>
      </w:r>
    </w:p>
    <w:p w14:paraId="482FCC35">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（7）危险品管理和使用制度；</w:t>
      </w:r>
    </w:p>
    <w:p w14:paraId="588A23BA">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（8）安全设施、设备、器材和劳动保护用品的配置；</w:t>
      </w:r>
    </w:p>
    <w:p w14:paraId="496323CB">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（9）其他：</w:t>
      </w:r>
    </w:p>
    <w:p w14:paraId="066183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14:paraId="0FD0348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6.6.3 施工安全措施计划应当在合同条款约定的期限内报送监理人。承包人应当严格执行经监理人批准的施工安全措施计划，并及时补充、修订和完善施工安全措施计划，确保安全生产。</w:t>
      </w:r>
    </w:p>
    <w:p w14:paraId="3EA0E134">
      <w:pPr>
        <w:pStyle w:val="10"/>
        <w:rPr>
          <w:rFonts w:hint="eastAsia" w:ascii="宋体" w:hAnsi="宋体" w:eastAsia="宋体" w:cs="宋体"/>
          <w:b w:val="0"/>
          <w:bCs w:val="0"/>
          <w:color w:val="auto"/>
          <w:sz w:val="24"/>
          <w:highlight w:val="none"/>
        </w:rPr>
      </w:pPr>
      <w:bookmarkStart w:id="1208" w:name="_Toc300678534"/>
      <w:r>
        <w:rPr>
          <w:rFonts w:hint="eastAsia" w:ascii="宋体" w:hAnsi="宋体" w:eastAsia="宋体" w:cs="宋体"/>
          <w:b w:val="0"/>
          <w:bCs w:val="0"/>
          <w:color w:val="auto"/>
          <w:sz w:val="24"/>
          <w:highlight w:val="none"/>
        </w:rPr>
        <w:t>6.7 文明施工</w:t>
      </w:r>
      <w:bookmarkEnd w:id="1208"/>
    </w:p>
    <w:p w14:paraId="7B14441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6.7.1 承包人应遵守国家和工程所在地有关法规、规范、规程和标准的规定，履行文明施工义务，确保文明施工专项费用专款专用。</w:t>
      </w:r>
    </w:p>
    <w:p w14:paraId="106443F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6.7.2 承包人应当规范现场施工秩序，实行标准化管理：</w:t>
      </w:r>
    </w:p>
    <w:p w14:paraId="3E68186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（1）承包人的施工场地（现场）必须干净</w:t>
      </w:r>
      <w:r>
        <w:rPr>
          <w:rFonts w:hint="eastAsia" w:ascii="宋体" w:hAnsi="宋体" w:eastAsia="宋体" w:cs="宋体"/>
          <w:color w:val="auto"/>
          <w:szCs w:val="21"/>
          <w:highlight w:val="none"/>
          <w:lang w:val="en-US" w:eastAsia="zh-CN"/>
        </w:rPr>
        <w:t>整洁</w:t>
      </w:r>
      <w:r>
        <w:rPr>
          <w:rFonts w:hint="eastAsia" w:ascii="宋体" w:hAnsi="宋体" w:eastAsia="宋体" w:cs="宋体"/>
          <w:color w:val="auto"/>
          <w:szCs w:val="21"/>
          <w:highlight w:val="none"/>
        </w:rPr>
        <w:t>、做到无积水、无淤泥、无杂物，材料堆放整齐；</w:t>
      </w:r>
    </w:p>
    <w:p w14:paraId="5E09C7E4">
      <w:pPr>
        <w:spacing w:line="360" w:lineRule="auto"/>
        <w:ind w:right="-174" w:rightChars="-83"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（2）施工场地（现场）应进行硬化处理，定期定时洒水，做好防治扬尘和大气污染工作；</w:t>
      </w:r>
    </w:p>
    <w:p w14:paraId="794004B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（3）严格遵守“工完、料尽、场地净”的原则，不留垃圾、不留剩余施工材料和施工机具，各种设备运转正常；</w:t>
      </w:r>
    </w:p>
    <w:p w14:paraId="155AFDF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（4）承包人修建的施工临时设施应符合监理人批准的施工规划要求，并应满足本节规定的各项安全要求；</w:t>
      </w:r>
    </w:p>
    <w:p w14:paraId="6688177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（5）监理人可要求承包人在施工场地（现场）设置各级承包人的安全文明施工责任牌等文明施工警示牌；</w:t>
      </w:r>
    </w:p>
    <w:p w14:paraId="13E4F4B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（6）材料进入现场应按指定位置堆放整齐，不得影响现场施工和堵塞施工、消防通道。材料堆放场地应有专职的管理人员；</w:t>
      </w:r>
    </w:p>
    <w:p w14:paraId="1B8352A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（7）施工和安装用的各种扣件、紧固件、绳索具、小型配件、镙钉等应在专设的仓库内装箱放置；</w:t>
      </w:r>
    </w:p>
    <w:p w14:paraId="23F0FE6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（8）现场风、水管及照明电线的布置应安全、合理、规范、有序，做到整齐美观。不得随意架设  和造成隐患或影响施工。</w:t>
      </w:r>
    </w:p>
    <w:p w14:paraId="4CB96BF9">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6.7.3 承包人应为其雇佣的施工工人建立并维护相应的生活宿舍、食堂、浴室、厕所和文化活动室等，其标准应满足政府有关机构的生活标准和卫生标准等的要求。</w:t>
      </w:r>
    </w:p>
    <w:p w14:paraId="2CFF8B33">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14:paraId="2EC8627E">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6.7.5 在工程施工期间，承包人应始终避免现场出现不必要的障碍物，妥当存放并处置施工设备和多余的材料，及时从现场清除运走任何废料、垃圾或不再需要的临时工程和设施。</w:t>
      </w:r>
    </w:p>
    <w:p w14:paraId="4930804C">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6.7.6 承包人应为现场的工人和其他所有工作人员提供符合卫生要求的厕所，厕所应贴有</w:t>
      </w:r>
      <w:r>
        <w:rPr>
          <w:rFonts w:hint="eastAsia" w:ascii="宋体" w:hAnsi="宋体" w:eastAsia="宋体" w:cs="宋体"/>
          <w:color w:val="auto"/>
          <w:szCs w:val="21"/>
          <w:highlight w:val="none"/>
          <w:lang w:val="en-US" w:eastAsia="zh-CN"/>
        </w:rPr>
        <w:t>瓷砖</w:t>
      </w:r>
      <w:r>
        <w:rPr>
          <w:rFonts w:hint="eastAsia" w:ascii="宋体" w:hAnsi="宋体" w:eastAsia="宋体" w:cs="宋体"/>
          <w:color w:val="auto"/>
          <w:szCs w:val="21"/>
          <w:highlight w:val="none"/>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14:paraId="08AD64F3">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6.7.7 承包人应在现场设立固定的垃圾临时存放点并在各楼层或区域设立必要的垃圾箱；所有垃圾必须在当天清除出现场，并按有关行政管理部门的规定，运送到指定的垃圾消纳场。</w:t>
      </w:r>
    </w:p>
    <w:p w14:paraId="3BCCA6DC">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w:t>
      </w:r>
      <w:r>
        <w:rPr>
          <w:rFonts w:hint="eastAsia" w:ascii="宋体" w:hAnsi="宋体" w:eastAsia="宋体" w:cs="宋体"/>
          <w:color w:val="auto"/>
          <w:szCs w:val="21"/>
          <w:highlight w:val="none"/>
          <w:lang w:val="en-US" w:eastAsia="zh-CN"/>
        </w:rPr>
        <w:t>浇筑</w:t>
      </w:r>
      <w:r>
        <w:rPr>
          <w:rFonts w:hint="eastAsia" w:ascii="宋体" w:hAnsi="宋体" w:eastAsia="宋体" w:cs="宋体"/>
          <w:color w:val="auto"/>
          <w:szCs w:val="21"/>
          <w:highlight w:val="none"/>
        </w:rPr>
        <w:t>、材料运输、材料装卸、现场清理等工作中应采取一切必要的措施防止影响公共交通。</w:t>
      </w:r>
    </w:p>
    <w:p w14:paraId="0A6A21C6">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14:paraId="1A1A826A">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6.7.10 文明施工方面的其他要求如下：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8535D74">
      <w:pPr>
        <w:spacing w:line="360" w:lineRule="auto"/>
        <w:ind w:right="42" w:rightChars="20" w:firstLine="480" w:firstLineChars="200"/>
        <w:rPr>
          <w:rFonts w:hint="eastAsia" w:ascii="宋体" w:hAnsi="宋体" w:eastAsia="宋体" w:cs="宋体"/>
          <w:bCs/>
          <w:color w:val="auto"/>
          <w:sz w:val="24"/>
          <w:highlight w:val="none"/>
        </w:rPr>
      </w:pPr>
      <w:bookmarkStart w:id="1209" w:name="_Toc300678535"/>
      <w:r>
        <w:rPr>
          <w:rFonts w:hint="eastAsia" w:ascii="宋体" w:hAnsi="宋体" w:eastAsia="宋体" w:cs="宋体"/>
          <w:bCs/>
          <w:color w:val="auto"/>
          <w:sz w:val="24"/>
          <w:highlight w:val="none"/>
        </w:rPr>
        <w:t>6.8 环境保护</w:t>
      </w:r>
      <w:bookmarkEnd w:id="1209"/>
    </w:p>
    <w:p w14:paraId="3B4239A0">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6.8.1 在工程施工、完工及修补任何缺陷的过程中，承包人应当始终遵守国家和工程所在地有关环境保护、水土保护和污染防治的法律、法规、规章、规范、标准和规程等，按照合同条款的约定履行其环境与生态保护职责。</w:t>
      </w:r>
    </w:p>
    <w:p w14:paraId="1AC161C9">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14:paraId="2C7AAC32">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14:paraId="3C1BAE16">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14:paraId="6DDD8BEF">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14:paraId="4BC59102">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14:paraId="7B32B66D">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14:paraId="4AE25F73">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14:paraId="20C7F139">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6.8.9 环境保护方面的其他要求如下：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9A34D77">
      <w:pPr>
        <w:pStyle w:val="10"/>
        <w:rPr>
          <w:rFonts w:hint="eastAsia" w:ascii="宋体" w:hAnsi="宋体" w:eastAsia="宋体" w:cs="宋体"/>
          <w:b w:val="0"/>
          <w:bCs w:val="0"/>
          <w:color w:val="auto"/>
          <w:sz w:val="24"/>
          <w:highlight w:val="none"/>
        </w:rPr>
      </w:pPr>
      <w:bookmarkStart w:id="1210" w:name="_Toc300678536"/>
      <w:r>
        <w:rPr>
          <w:rFonts w:hint="eastAsia" w:ascii="宋体" w:hAnsi="宋体" w:eastAsia="宋体" w:cs="宋体"/>
          <w:b w:val="0"/>
          <w:bCs w:val="0"/>
          <w:color w:val="auto"/>
          <w:sz w:val="24"/>
          <w:highlight w:val="none"/>
        </w:rPr>
        <w:t>6.9 施工环保措施计划</w:t>
      </w:r>
      <w:bookmarkEnd w:id="1210"/>
    </w:p>
    <w:p w14:paraId="6A1EB6C8">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6.9.1 合同条款约定的施工环保措施计划是承包人阐明环保方针和拟采用的环保措施及方法等的文件，其内容应包括但不限于：</w:t>
      </w:r>
    </w:p>
    <w:p w14:paraId="62266922">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（1）承包人生活区（如果有）的生活用水和生活污水处理措施；</w:t>
      </w:r>
    </w:p>
    <w:p w14:paraId="76183059">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（2）施工生产废水处理措施；</w:t>
      </w:r>
    </w:p>
    <w:p w14:paraId="6236EAA2">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（3）施工扬尘和废气的处理措施；</w:t>
      </w:r>
    </w:p>
    <w:p w14:paraId="26CF44EB">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（4）施工噪声和光污染控制措施；</w:t>
      </w:r>
    </w:p>
    <w:p w14:paraId="3DD53594">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（5）节能减排措施；</w:t>
      </w:r>
    </w:p>
    <w:p w14:paraId="668324D1">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（6）不可再生资源循环利用措施；</w:t>
      </w:r>
    </w:p>
    <w:p w14:paraId="0232FE51">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（7）固体废弃物处理措施；</w:t>
      </w:r>
    </w:p>
    <w:p w14:paraId="1C557D4B">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（8）人群健康保护和卫生防疫措施；</w:t>
      </w:r>
    </w:p>
    <w:p w14:paraId="365FAA0F">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（9）防止误用有害材料的保证措施；</w:t>
      </w:r>
    </w:p>
    <w:p w14:paraId="527B38E8">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（10）施工边坡工程的水土流失保护措施；</w:t>
      </w:r>
    </w:p>
    <w:p w14:paraId="52BA76CE">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（11）道路污染防治措施；</w:t>
      </w:r>
    </w:p>
    <w:p w14:paraId="3AA4B9EB">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（12）完工后场地清理及其植被（如果有）恢复的规划和措施；</w:t>
      </w:r>
    </w:p>
    <w:p w14:paraId="3A2955A6">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（13）其他：</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A9B877">
      <w:pPr>
        <w:spacing w:line="360" w:lineRule="auto"/>
        <w:ind w:right="42" w:rightChars="2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6.9.2 施工环保措施计划应当在合同条款约定的期限内报送监理人。承包人应当严格执行经监理人批准的施工环保措施计划，并及时补充、修订和完善施工环保措施计划。</w:t>
      </w:r>
    </w:p>
    <w:p w14:paraId="36EF2843">
      <w:pPr>
        <w:pStyle w:val="9"/>
        <w:keepNext/>
        <w:keepLines/>
        <w:widowControl w:val="0"/>
        <w:jc w:val="left"/>
        <w:rPr>
          <w:rFonts w:hint="eastAsia" w:ascii="宋体" w:hAnsi="宋体" w:eastAsia="宋体" w:cs="宋体"/>
          <w:b w:val="0"/>
          <w:bCs w:val="0"/>
          <w:color w:val="auto"/>
          <w:sz w:val="28"/>
          <w:szCs w:val="28"/>
          <w:highlight w:val="none"/>
        </w:rPr>
      </w:pPr>
      <w:bookmarkStart w:id="1211" w:name="_Toc300678537"/>
      <w:bookmarkStart w:id="1212" w:name="_Toc7569"/>
      <w:bookmarkStart w:id="1213" w:name="_Toc9178558"/>
      <w:bookmarkStart w:id="1214" w:name="_Toc11572"/>
      <w:bookmarkStart w:id="1215" w:name="_Toc79998417"/>
      <w:bookmarkStart w:id="1216" w:name="_Toc80006131"/>
      <w:bookmarkStart w:id="1217" w:name="_Toc80006241"/>
      <w:bookmarkStart w:id="1218" w:name="_Toc79998861"/>
      <w:r>
        <w:rPr>
          <w:rFonts w:hint="eastAsia" w:ascii="宋体" w:hAnsi="宋体" w:eastAsia="宋体" w:cs="宋体"/>
          <w:b w:val="0"/>
          <w:bCs w:val="0"/>
          <w:color w:val="auto"/>
          <w:sz w:val="28"/>
          <w:szCs w:val="28"/>
          <w:highlight w:val="none"/>
        </w:rPr>
        <w:t>7.治安保卫</w:t>
      </w:r>
      <w:bookmarkEnd w:id="1211"/>
      <w:bookmarkEnd w:id="1212"/>
      <w:bookmarkEnd w:id="1213"/>
      <w:bookmarkEnd w:id="1214"/>
      <w:bookmarkEnd w:id="1215"/>
      <w:bookmarkEnd w:id="1216"/>
      <w:bookmarkEnd w:id="1217"/>
      <w:bookmarkEnd w:id="1218"/>
    </w:p>
    <w:p w14:paraId="7FE4C4B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7.1 </w:t>
      </w:r>
      <w:r>
        <w:rPr>
          <w:rFonts w:hint="eastAsia" w:ascii="宋体" w:hAnsi="宋体" w:eastAsia="宋体" w:cs="宋体"/>
          <w:color w:val="auto"/>
          <w:spacing w:val="6"/>
          <w:szCs w:val="21"/>
          <w:highlight w:val="none"/>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14:paraId="2E9D4EC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14:paraId="5437431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 承包人应制定并实施严格的施工场地（现场）出入制度并报监理人审批；车辆的出入须有出入审批制度，并有指定的专人负责管理；人员进出现场应有出入证，出入证须以经过监理人批准的格式印制。</w:t>
      </w:r>
    </w:p>
    <w:p w14:paraId="4C8F30E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 承包人应确保杜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14:paraId="2CD9A5C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14:paraId="7D621C3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14:paraId="6B51F22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7.7 施工场地（现场）治安管理计划的要求：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0852A444">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7.8 突发治安事件紧急预案的要求：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B1CEEAF">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7.9 治安保卫方面的其他要求如下：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AF337AA">
      <w:pPr>
        <w:pStyle w:val="9"/>
        <w:keepNext/>
        <w:keepLines/>
        <w:widowControl w:val="0"/>
        <w:jc w:val="left"/>
        <w:rPr>
          <w:rFonts w:hint="eastAsia" w:ascii="宋体" w:hAnsi="宋体" w:eastAsia="宋体" w:cs="宋体"/>
          <w:b w:val="0"/>
          <w:bCs w:val="0"/>
          <w:color w:val="auto"/>
          <w:sz w:val="28"/>
          <w:szCs w:val="28"/>
          <w:highlight w:val="none"/>
        </w:rPr>
      </w:pPr>
      <w:bookmarkStart w:id="1219" w:name="_Toc80006132"/>
      <w:bookmarkStart w:id="1220" w:name="_Toc14347"/>
      <w:bookmarkStart w:id="1221" w:name="_Toc79998418"/>
      <w:bookmarkStart w:id="1222" w:name="_Toc9178559"/>
      <w:bookmarkStart w:id="1223" w:name="_Toc11819"/>
      <w:bookmarkStart w:id="1224" w:name="_Toc300678538"/>
      <w:bookmarkStart w:id="1225" w:name="_Toc79998862"/>
      <w:bookmarkStart w:id="1226" w:name="_Toc80006242"/>
      <w:r>
        <w:rPr>
          <w:rFonts w:hint="eastAsia" w:ascii="宋体" w:hAnsi="宋体" w:eastAsia="宋体" w:cs="宋体"/>
          <w:b w:val="0"/>
          <w:bCs w:val="0"/>
          <w:color w:val="auto"/>
          <w:sz w:val="28"/>
          <w:szCs w:val="28"/>
          <w:highlight w:val="none"/>
        </w:rPr>
        <w:t>8.地上、地下设施和周边建筑物的临时保护</w:t>
      </w:r>
      <w:bookmarkEnd w:id="1219"/>
      <w:bookmarkEnd w:id="1220"/>
      <w:bookmarkEnd w:id="1221"/>
      <w:bookmarkEnd w:id="1222"/>
      <w:bookmarkEnd w:id="1223"/>
      <w:bookmarkEnd w:id="1224"/>
      <w:bookmarkEnd w:id="1225"/>
      <w:bookmarkEnd w:id="1226"/>
    </w:p>
    <w:p w14:paraId="3F44AB6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 承包人应为施工场地及其周边现有的地上、地下设施和建筑物提供足够的临时保护设施，确保施工过程中这些设施和建筑物不会受到干扰和破坏。</w:t>
      </w:r>
    </w:p>
    <w:p w14:paraId="10E5ACA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14:paraId="369F7D1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8.3 发包人特别提醒承包人注意以下地上、地下设施和周边建筑物的保护：</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4E45A1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8.4 地上、地下设施和周边建筑物的临时保护的其他要求如下：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F74FDCA">
      <w:pPr>
        <w:pStyle w:val="9"/>
        <w:keepNext/>
        <w:keepLines/>
        <w:widowControl w:val="0"/>
        <w:jc w:val="left"/>
        <w:rPr>
          <w:rFonts w:hint="eastAsia" w:ascii="宋体" w:hAnsi="宋体" w:eastAsia="宋体" w:cs="宋体"/>
          <w:b w:val="0"/>
          <w:bCs w:val="0"/>
          <w:color w:val="auto"/>
          <w:sz w:val="28"/>
          <w:szCs w:val="28"/>
          <w:highlight w:val="none"/>
        </w:rPr>
      </w:pPr>
      <w:bookmarkStart w:id="1227" w:name="_Toc300678539"/>
      <w:bookmarkStart w:id="1228" w:name="_Toc26797"/>
      <w:bookmarkStart w:id="1229" w:name="_Toc9178560"/>
      <w:bookmarkStart w:id="1230" w:name="_Toc79998863"/>
      <w:bookmarkStart w:id="1231" w:name="_Toc79998419"/>
      <w:bookmarkStart w:id="1232" w:name="_Toc6802"/>
      <w:bookmarkStart w:id="1233" w:name="_Toc80006243"/>
      <w:bookmarkStart w:id="1234" w:name="_Toc80006133"/>
      <w:r>
        <w:rPr>
          <w:rFonts w:hint="eastAsia" w:ascii="宋体" w:hAnsi="宋体" w:eastAsia="宋体" w:cs="宋体"/>
          <w:b w:val="0"/>
          <w:bCs w:val="0"/>
          <w:color w:val="auto"/>
          <w:sz w:val="28"/>
          <w:szCs w:val="28"/>
          <w:highlight w:val="none"/>
        </w:rPr>
        <w:t>9.样品和材料代换</w:t>
      </w:r>
      <w:bookmarkEnd w:id="1227"/>
      <w:bookmarkEnd w:id="1228"/>
      <w:bookmarkEnd w:id="1229"/>
      <w:bookmarkEnd w:id="1230"/>
      <w:bookmarkEnd w:id="1231"/>
      <w:bookmarkEnd w:id="1232"/>
      <w:bookmarkEnd w:id="1233"/>
      <w:bookmarkEnd w:id="1234"/>
    </w:p>
    <w:p w14:paraId="4948C3B4">
      <w:pPr>
        <w:pStyle w:val="10"/>
        <w:rPr>
          <w:rFonts w:hint="eastAsia" w:ascii="宋体" w:hAnsi="宋体" w:eastAsia="宋体" w:cs="宋体"/>
          <w:b w:val="0"/>
          <w:bCs w:val="0"/>
          <w:color w:val="auto"/>
          <w:sz w:val="24"/>
          <w:highlight w:val="none"/>
        </w:rPr>
      </w:pPr>
      <w:bookmarkStart w:id="1235" w:name="_Toc300678540"/>
      <w:r>
        <w:rPr>
          <w:rFonts w:hint="eastAsia" w:ascii="宋体" w:hAnsi="宋体" w:eastAsia="宋体" w:cs="宋体"/>
          <w:b w:val="0"/>
          <w:bCs w:val="0"/>
          <w:color w:val="auto"/>
          <w:sz w:val="24"/>
          <w:highlight w:val="none"/>
        </w:rPr>
        <w:t>9.1 样品</w:t>
      </w:r>
      <w:bookmarkEnd w:id="1235"/>
    </w:p>
    <w:p w14:paraId="753AA94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9.1.1 本工程需要承包人提供样品的材料和工程设备如下：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F34375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9.1.2 对于本款第9.1.1项约定的材料和工程设备，承包人应按照合同条款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14:paraId="18910E5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9.1.3 合同条款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14:paraId="5C125D8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14:paraId="08C9070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9.1.5 得到批准后的样品由监理人负责存放。但承包人应为保存样品提供适当和固定的场所并保持适当和良好的环境条件。</w:t>
      </w:r>
    </w:p>
    <w:p w14:paraId="04D6716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9.1.6 提供样品和提供存放样品场所的费用由承包人承担。</w:t>
      </w:r>
    </w:p>
    <w:p w14:paraId="02FA9A6C">
      <w:pPr>
        <w:pStyle w:val="10"/>
        <w:rPr>
          <w:rFonts w:hint="eastAsia" w:ascii="宋体" w:hAnsi="宋体" w:eastAsia="宋体" w:cs="宋体"/>
          <w:b w:val="0"/>
          <w:bCs w:val="0"/>
          <w:color w:val="auto"/>
          <w:sz w:val="24"/>
          <w:highlight w:val="none"/>
        </w:rPr>
      </w:pPr>
      <w:bookmarkStart w:id="1236" w:name="_Toc300678541"/>
      <w:r>
        <w:rPr>
          <w:rFonts w:hint="eastAsia" w:ascii="宋体" w:hAnsi="宋体" w:eastAsia="宋体" w:cs="宋体"/>
          <w:b w:val="0"/>
          <w:bCs w:val="0"/>
          <w:color w:val="auto"/>
          <w:sz w:val="24"/>
          <w:highlight w:val="none"/>
        </w:rPr>
        <w:t>9.2 材料代换</w:t>
      </w:r>
      <w:bookmarkEnd w:id="1236"/>
    </w:p>
    <w:p w14:paraId="611C314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14:paraId="4D2BD85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9.2.2 如果使用替代品，承包人应至少在被替代品按批准的进度计划用于永久工程前56天以书面形式通知监理人并随此通知提交下列文件：</w:t>
      </w:r>
    </w:p>
    <w:p w14:paraId="43984F1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（1）拟被替代的合同约定的材料和工程设备的名称、数量、规格、型号、品牌、性能、价格及其他任何详细资料；</w:t>
      </w:r>
    </w:p>
    <w:p w14:paraId="5990C6F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（2）拟采用的替代品的名称、数量、规格、型号、品牌、性能、价格及其他任何必要的详细资料；</w:t>
      </w:r>
    </w:p>
    <w:p w14:paraId="12BCA47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（3）替代品使用的工程部位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EC532A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（4）采用替代品的理由和原因说明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61E7FD7">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（5）替代品与合同中约定的产品之间的差异以及使用替代品后可能对工程产生的任何影响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273466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（6）价格上的差异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D3C51B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（7）监理人为做出适当的决定而随时要求承包人提供的任何其他文件</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6AA36A4">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监理人在收到此类通知及上述文件后，应在28天内向承包人给出书面指示。如果28天内  监理人未给出书面指示，应视为监理人和发包人已经批准使用上述替代品，承包人可以据此使用替代品。</w:t>
      </w:r>
    </w:p>
    <w:p w14:paraId="0C79DE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9.2.3 任何情况下，替代品都应遵守本合同中对相关材料和工程设备的要求。</w:t>
      </w:r>
    </w:p>
    <w:p w14:paraId="76D651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9.2.4 如果承包人根据本条约定使用了替代品，监理人应与承包人适当协商之后并在合理的期限内确定替代材料和工程设备与合同中约定的材料和工程设备之间的价值差值，并决定：</w:t>
      </w:r>
    </w:p>
    <w:p w14:paraId="41BC40B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（1）如果替代材料和工程设备的价值高于合同中约定的材料和工程设备的价值，则将高出部分的价值追加到合同价格中并相应地通知承包人；</w:t>
      </w:r>
    </w:p>
    <w:p w14:paraId="6A865DD0">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（2）如果替代材料和工程设备的价值低于合同中约定的材料和工程设备的价值，则将节余部分的价值从合同价格中扣除并相应地通知承包人。</w:t>
      </w:r>
    </w:p>
    <w:p w14:paraId="5191EA97">
      <w:pPr>
        <w:pStyle w:val="9"/>
        <w:keepNext/>
        <w:keepLines/>
        <w:widowControl w:val="0"/>
        <w:jc w:val="left"/>
        <w:rPr>
          <w:rFonts w:hint="eastAsia" w:ascii="宋体" w:hAnsi="宋体" w:eastAsia="宋体" w:cs="宋体"/>
          <w:b w:val="0"/>
          <w:bCs w:val="0"/>
          <w:color w:val="auto"/>
          <w:sz w:val="28"/>
          <w:szCs w:val="28"/>
          <w:highlight w:val="none"/>
        </w:rPr>
      </w:pPr>
      <w:bookmarkStart w:id="1237" w:name="_Toc12485"/>
      <w:bookmarkStart w:id="1238" w:name="_Toc79998864"/>
      <w:bookmarkStart w:id="1239" w:name="_Toc80006134"/>
      <w:bookmarkStart w:id="1240" w:name="_Toc21545"/>
      <w:bookmarkStart w:id="1241" w:name="_Toc80006244"/>
      <w:bookmarkStart w:id="1242" w:name="_Toc79998420"/>
      <w:bookmarkStart w:id="1243" w:name="_Toc300678542"/>
      <w:bookmarkStart w:id="1244" w:name="_Toc9178561"/>
      <w:r>
        <w:rPr>
          <w:rFonts w:hint="eastAsia" w:ascii="宋体" w:hAnsi="宋体" w:eastAsia="宋体" w:cs="宋体"/>
          <w:b w:val="0"/>
          <w:bCs w:val="0"/>
          <w:color w:val="auto"/>
          <w:sz w:val="28"/>
          <w:szCs w:val="28"/>
          <w:highlight w:val="none"/>
        </w:rPr>
        <w:t>10.进口材料和工程设备</w:t>
      </w:r>
      <w:bookmarkEnd w:id="1237"/>
      <w:bookmarkEnd w:id="1238"/>
      <w:bookmarkEnd w:id="1239"/>
      <w:bookmarkEnd w:id="1240"/>
      <w:bookmarkEnd w:id="1241"/>
      <w:bookmarkEnd w:id="1242"/>
      <w:bookmarkEnd w:id="1243"/>
      <w:bookmarkEnd w:id="1244"/>
    </w:p>
    <w:p w14:paraId="1FC486E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 本工程需要进口的材料和工程设备如下：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374C211">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10.2 上述进口材料和工程设备采购、进口、报关、清关、商检、境内运输（包括保险）、保管的责任以及费用承担方式划分如下：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9587302">
      <w:pPr>
        <w:pStyle w:val="9"/>
        <w:keepNext/>
        <w:keepLines/>
        <w:widowControl w:val="0"/>
        <w:jc w:val="left"/>
        <w:rPr>
          <w:rFonts w:hint="eastAsia" w:ascii="宋体" w:hAnsi="宋体" w:eastAsia="宋体" w:cs="宋体"/>
          <w:b w:val="0"/>
          <w:bCs w:val="0"/>
          <w:color w:val="auto"/>
          <w:sz w:val="28"/>
          <w:szCs w:val="28"/>
          <w:highlight w:val="none"/>
        </w:rPr>
      </w:pPr>
      <w:bookmarkStart w:id="1245" w:name="_Toc300678543"/>
      <w:bookmarkStart w:id="1246" w:name="_Toc9178562"/>
      <w:bookmarkStart w:id="1247" w:name="_Toc80006135"/>
      <w:bookmarkStart w:id="1248" w:name="_Toc1259"/>
      <w:bookmarkStart w:id="1249" w:name="_Toc80006245"/>
      <w:bookmarkStart w:id="1250" w:name="_Toc79998421"/>
      <w:bookmarkStart w:id="1251" w:name="_Toc79998865"/>
      <w:bookmarkStart w:id="1252" w:name="_Toc31732"/>
      <w:r>
        <w:rPr>
          <w:rFonts w:hint="eastAsia" w:ascii="宋体" w:hAnsi="宋体" w:eastAsia="宋体" w:cs="宋体"/>
          <w:b w:val="0"/>
          <w:bCs w:val="0"/>
          <w:color w:val="auto"/>
          <w:sz w:val="28"/>
          <w:szCs w:val="28"/>
          <w:highlight w:val="none"/>
        </w:rPr>
        <w:t>11.进度报告和进度例会</w:t>
      </w:r>
      <w:bookmarkEnd w:id="1245"/>
      <w:bookmarkEnd w:id="1246"/>
      <w:bookmarkEnd w:id="1247"/>
      <w:bookmarkEnd w:id="1248"/>
      <w:bookmarkEnd w:id="1249"/>
      <w:bookmarkEnd w:id="1250"/>
      <w:bookmarkEnd w:id="1251"/>
      <w:bookmarkEnd w:id="1252"/>
    </w:p>
    <w:p w14:paraId="1E97831B">
      <w:pPr>
        <w:pStyle w:val="10"/>
        <w:rPr>
          <w:rFonts w:hint="eastAsia" w:ascii="宋体" w:hAnsi="宋体" w:eastAsia="宋体" w:cs="宋体"/>
          <w:b w:val="0"/>
          <w:bCs w:val="0"/>
          <w:color w:val="auto"/>
          <w:sz w:val="24"/>
          <w:highlight w:val="none"/>
        </w:rPr>
      </w:pPr>
      <w:bookmarkStart w:id="1253" w:name="_Toc300678544"/>
      <w:r>
        <w:rPr>
          <w:rFonts w:hint="eastAsia" w:ascii="宋体" w:hAnsi="宋体" w:eastAsia="宋体" w:cs="宋体"/>
          <w:b w:val="0"/>
          <w:bCs w:val="0"/>
          <w:color w:val="auto"/>
          <w:sz w:val="24"/>
          <w:highlight w:val="none"/>
        </w:rPr>
        <w:t>11.1 进度报告</w:t>
      </w:r>
      <w:bookmarkEnd w:id="1253"/>
    </w:p>
    <w:p w14:paraId="309CA50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约定的进度付款申请单一并递交。</w:t>
      </w:r>
    </w:p>
    <w:p w14:paraId="6FA62D1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14:paraId="5F7FAD0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14:paraId="6111EE7F">
      <w:pPr>
        <w:spacing w:line="360" w:lineRule="auto"/>
        <w:ind w:left="-21" w:leftChars="-1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14:paraId="05787FC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11.1.5 各个进度报表的格式和内容应经过监理人的审批。进度报表应如实填写，由承包人委托代理人签名，并报监理人的指定代表签名确认后再行分发。</w:t>
      </w:r>
    </w:p>
    <w:p w14:paraId="0CB0531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11.1.6 如果监理人认为必要，进度报告和进度照片应同时以存储在磁盘或光盘中的数据文件的形式递交给发包人和监理人。数据文件采用的应用软件及其版本应经过监理人的审批。</w:t>
      </w:r>
    </w:p>
    <w:p w14:paraId="7371C3AF">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11.1.7 有关进度报告的其他要求：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45FDB59">
      <w:pPr>
        <w:pStyle w:val="10"/>
        <w:rPr>
          <w:rFonts w:hint="eastAsia" w:ascii="宋体" w:hAnsi="宋体" w:eastAsia="宋体" w:cs="宋体"/>
          <w:b w:val="0"/>
          <w:bCs w:val="0"/>
          <w:color w:val="auto"/>
          <w:sz w:val="24"/>
          <w:highlight w:val="none"/>
        </w:rPr>
      </w:pPr>
      <w:bookmarkStart w:id="1254" w:name="_Toc300678545"/>
      <w:r>
        <w:rPr>
          <w:rFonts w:hint="eastAsia" w:ascii="宋体" w:hAnsi="宋体" w:eastAsia="宋体" w:cs="宋体"/>
          <w:b w:val="0"/>
          <w:bCs w:val="0"/>
          <w:color w:val="auto"/>
          <w:sz w:val="24"/>
          <w:highlight w:val="none"/>
        </w:rPr>
        <w:t>11.2 进度例会</w:t>
      </w:r>
      <w:bookmarkEnd w:id="1254"/>
    </w:p>
    <w:p w14:paraId="6E97F19E">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14:paraId="2F4F015B">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11.2.2 进度例会的内容将涉及合同管理、进度协调和工程管理的各个方面，由监理人准备的会议议题将随会议通知在会议召开前至少24小时发给各参会方。</w:t>
      </w:r>
    </w:p>
    <w:p w14:paraId="0D9BB175">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14:paraId="600DEBB0">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11.2.4 有关进度例会的其他要求：</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CE4586B">
      <w:pPr>
        <w:pStyle w:val="9"/>
        <w:keepNext/>
        <w:keepLines/>
        <w:widowControl w:val="0"/>
        <w:jc w:val="left"/>
        <w:rPr>
          <w:rFonts w:hint="eastAsia" w:ascii="宋体" w:hAnsi="宋体" w:eastAsia="宋体" w:cs="宋体"/>
          <w:b w:val="0"/>
          <w:bCs w:val="0"/>
          <w:color w:val="auto"/>
          <w:sz w:val="28"/>
          <w:szCs w:val="28"/>
          <w:highlight w:val="none"/>
        </w:rPr>
      </w:pPr>
      <w:bookmarkStart w:id="1255" w:name="_Toc3139"/>
      <w:bookmarkStart w:id="1256" w:name="_Toc9178563"/>
      <w:bookmarkStart w:id="1257" w:name="_Toc80006246"/>
      <w:bookmarkStart w:id="1258" w:name="_Toc79998422"/>
      <w:bookmarkStart w:id="1259" w:name="_Toc300678546"/>
      <w:bookmarkStart w:id="1260" w:name="_Toc80006136"/>
      <w:bookmarkStart w:id="1261" w:name="_Toc23475"/>
      <w:bookmarkStart w:id="1262" w:name="_Toc79998866"/>
      <w:r>
        <w:rPr>
          <w:rFonts w:hint="eastAsia" w:ascii="宋体" w:hAnsi="宋体" w:eastAsia="宋体" w:cs="宋体"/>
          <w:b w:val="0"/>
          <w:bCs w:val="0"/>
          <w:color w:val="auto"/>
          <w:sz w:val="28"/>
          <w:szCs w:val="28"/>
          <w:highlight w:val="none"/>
        </w:rPr>
        <w:t>12.试验和检验</w:t>
      </w:r>
      <w:bookmarkEnd w:id="1255"/>
      <w:bookmarkEnd w:id="1256"/>
      <w:bookmarkEnd w:id="1257"/>
      <w:bookmarkEnd w:id="1258"/>
      <w:bookmarkEnd w:id="1259"/>
      <w:bookmarkEnd w:id="1260"/>
      <w:bookmarkEnd w:id="1261"/>
      <w:bookmarkEnd w:id="1262"/>
    </w:p>
    <w:p w14:paraId="2C98D14E">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 承包人应当按照工程施工验收规范和标准的规定和合同条款的约定，对用于永久工程的主要材料、半成品、成品、建筑构配件、工程设备等进行试验和检验。</w:t>
      </w:r>
    </w:p>
    <w:p w14:paraId="2E5B3E19">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本工程需要承包人进行试验和检验的材料、工程设备和工艺如下：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3F792F3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监理人可以根据工程需要，指示承包人进行其他现场材料和工艺的试验和检验。</w:t>
      </w:r>
    </w:p>
    <w:p w14:paraId="11903F76">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12.3 </w:t>
      </w:r>
      <w:r>
        <w:rPr>
          <w:rFonts w:hint="eastAsia" w:ascii="宋体" w:hAnsi="宋体" w:eastAsia="宋体" w:cs="宋体"/>
          <w:color w:val="auto"/>
          <w:spacing w:val="4"/>
          <w:szCs w:val="21"/>
          <w:highlight w:val="none"/>
        </w:rPr>
        <w:t>本工程需要由监理人和承包人共同进行试验和检验的材料、工程设备和工艺如下：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BBC8B8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 本条上述约定需要进行检验的材料、工程设备和工艺在经过检验并获得监理人批准以前，不得用于任何永久工程。</w:t>
      </w:r>
    </w:p>
    <w:p w14:paraId="5B0BEE5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14:paraId="199076A9">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14:paraId="13BD711C">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12.7 承包人应在监理人的监督下，对涉及结构安全的试块、试件以及有关材料进行现场取样，并送质量检测单位进行检测。</w:t>
      </w:r>
    </w:p>
    <w:p w14:paraId="3F2BF251">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12.8  除合同另有约定外，承包人应负担本合同项下的所有材料、工程设备和工艺检验的费用。</w:t>
      </w:r>
    </w:p>
    <w:p w14:paraId="32D8C02D">
      <w:pPr>
        <w:pStyle w:val="9"/>
        <w:keepNext/>
        <w:keepLines/>
        <w:widowControl w:val="0"/>
        <w:jc w:val="left"/>
        <w:rPr>
          <w:rFonts w:hint="eastAsia" w:ascii="宋体" w:hAnsi="宋体" w:eastAsia="宋体" w:cs="宋体"/>
          <w:b w:val="0"/>
          <w:bCs w:val="0"/>
          <w:color w:val="auto"/>
          <w:sz w:val="28"/>
          <w:szCs w:val="28"/>
          <w:highlight w:val="none"/>
        </w:rPr>
      </w:pPr>
      <w:bookmarkStart w:id="1263" w:name="_Toc21207"/>
      <w:bookmarkStart w:id="1264" w:name="_Toc80006137"/>
      <w:bookmarkStart w:id="1265" w:name="_Toc80006247"/>
      <w:bookmarkStart w:id="1266" w:name="_Toc79998867"/>
      <w:bookmarkStart w:id="1267" w:name="_Toc300678547"/>
      <w:bookmarkStart w:id="1268" w:name="_Toc9178564"/>
      <w:bookmarkStart w:id="1269" w:name="_Toc13702"/>
      <w:bookmarkStart w:id="1270" w:name="_Toc79998423"/>
      <w:r>
        <w:rPr>
          <w:rFonts w:hint="eastAsia" w:ascii="宋体" w:hAnsi="宋体" w:eastAsia="宋体" w:cs="宋体"/>
          <w:b w:val="0"/>
          <w:bCs w:val="0"/>
          <w:color w:val="auto"/>
          <w:sz w:val="28"/>
          <w:szCs w:val="28"/>
          <w:highlight w:val="none"/>
        </w:rPr>
        <w:t>13.计日工</w:t>
      </w:r>
      <w:bookmarkEnd w:id="1263"/>
      <w:bookmarkEnd w:id="1264"/>
      <w:bookmarkEnd w:id="1265"/>
      <w:bookmarkEnd w:id="1266"/>
      <w:bookmarkEnd w:id="1267"/>
      <w:bookmarkEnd w:id="1268"/>
      <w:bookmarkEnd w:id="1269"/>
      <w:bookmarkEnd w:id="1270"/>
    </w:p>
    <w:p w14:paraId="50B125B5">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 合同条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合同条款约定通知承包人实施。</w:t>
      </w:r>
    </w:p>
    <w:p w14:paraId="2DBB6E21">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 在工程实际开工后14天内，承包人应当按合同条款约定的计日工报表内容，准备一份计日工日报表的格式，报送监理人审批，监理人应当在收到之日后7天内给予批复或提出修改意见。</w:t>
      </w:r>
    </w:p>
    <w:p w14:paraId="2232F5FF">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13.3 按计日工实施相关变更的过程中，承包人应当按经监理人批准的计日工日报表格式，每天提交计日工报表和有关凭证，报送监理人审批，监理人应当在收到相关报表和凭证后24小时内给予批复。</w:t>
      </w:r>
    </w:p>
    <w:p w14:paraId="45714C2E">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14:paraId="29F9F4D9">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14:paraId="45F21CC0">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14:paraId="26626E26">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13.7 关于计日工的其他约定：</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851AE5E">
      <w:pPr>
        <w:pStyle w:val="9"/>
        <w:keepNext/>
        <w:keepLines/>
        <w:widowControl w:val="0"/>
        <w:jc w:val="left"/>
        <w:rPr>
          <w:rFonts w:hint="eastAsia" w:ascii="宋体" w:hAnsi="宋体" w:eastAsia="宋体" w:cs="宋体"/>
          <w:b w:val="0"/>
          <w:bCs w:val="0"/>
          <w:color w:val="auto"/>
          <w:sz w:val="28"/>
          <w:szCs w:val="28"/>
          <w:highlight w:val="none"/>
        </w:rPr>
      </w:pPr>
      <w:bookmarkStart w:id="1271" w:name="_Toc11507"/>
      <w:bookmarkStart w:id="1272" w:name="_Toc9178565"/>
      <w:bookmarkStart w:id="1273" w:name="_Toc79998868"/>
      <w:bookmarkStart w:id="1274" w:name="_Toc79998424"/>
      <w:bookmarkStart w:id="1275" w:name="_Toc300678548"/>
      <w:bookmarkStart w:id="1276" w:name="_Toc80006138"/>
      <w:bookmarkStart w:id="1277" w:name="_Toc17930"/>
      <w:bookmarkStart w:id="1278" w:name="_Toc80006248"/>
      <w:r>
        <w:rPr>
          <w:rFonts w:hint="eastAsia" w:ascii="宋体" w:hAnsi="宋体" w:eastAsia="宋体" w:cs="宋体"/>
          <w:b w:val="0"/>
          <w:bCs w:val="0"/>
          <w:color w:val="auto"/>
          <w:sz w:val="28"/>
          <w:szCs w:val="28"/>
          <w:highlight w:val="none"/>
        </w:rPr>
        <w:t>14.计量与支付</w:t>
      </w:r>
      <w:bookmarkEnd w:id="1271"/>
      <w:bookmarkEnd w:id="1272"/>
      <w:bookmarkEnd w:id="1273"/>
      <w:bookmarkEnd w:id="1274"/>
      <w:bookmarkEnd w:id="1275"/>
      <w:bookmarkEnd w:id="1276"/>
      <w:bookmarkEnd w:id="1277"/>
      <w:bookmarkEnd w:id="1278"/>
    </w:p>
    <w:p w14:paraId="150FD0B1">
      <w:pPr>
        <w:pStyle w:val="10"/>
        <w:rPr>
          <w:rFonts w:hint="eastAsia" w:ascii="宋体" w:hAnsi="宋体" w:eastAsia="宋体" w:cs="宋体"/>
          <w:b w:val="0"/>
          <w:bCs w:val="0"/>
          <w:color w:val="auto"/>
          <w:sz w:val="24"/>
          <w:highlight w:val="none"/>
        </w:rPr>
      </w:pPr>
      <w:bookmarkStart w:id="1279" w:name="_Toc300678549"/>
      <w:r>
        <w:rPr>
          <w:rFonts w:hint="eastAsia" w:ascii="宋体" w:hAnsi="宋体" w:eastAsia="宋体" w:cs="宋体"/>
          <w:b w:val="0"/>
          <w:bCs w:val="0"/>
          <w:color w:val="auto"/>
          <w:sz w:val="24"/>
          <w:highlight w:val="none"/>
        </w:rPr>
        <w:t>14.1 付款申请单</w:t>
      </w:r>
      <w:bookmarkEnd w:id="1279"/>
    </w:p>
    <w:p w14:paraId="62295EE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14.1.1 在工程实际开工后14天内，承包人应当按照合同条款的约定，准备一份已完工程量报表、进度付款申请单和计量文件的格式等报送监理人，监理人应当在收到承包人报送的格式后7天内给予批复或者提出修改意见。</w:t>
      </w:r>
    </w:p>
    <w:p w14:paraId="027C032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14.1.2 根据合同条款，承包人应当在合同约定的每个付款周期末，对当期完成的各项工程量进行计量和计价，并按照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14:paraId="2D74DD4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14.1.3 竣工付款申请单的内容按合同条款的约定。采用单价合同形式的，竣工付款申请单应当附上按合同条款确定的结算工程量和最近一</w:t>
      </w:r>
      <w:r>
        <w:rPr>
          <w:rFonts w:hint="eastAsia" w:ascii="宋体" w:hAnsi="宋体" w:eastAsia="宋体" w:cs="宋体"/>
          <w:color w:val="auto"/>
          <w:szCs w:val="21"/>
          <w:highlight w:val="none"/>
          <w:lang w:val="en-US" w:eastAsia="zh-CN"/>
        </w:rPr>
        <w:t>次</w:t>
      </w:r>
      <w:r>
        <w:rPr>
          <w:rFonts w:hint="eastAsia" w:ascii="宋体" w:hAnsi="宋体" w:eastAsia="宋体" w:cs="宋体"/>
          <w:color w:val="auto"/>
          <w:szCs w:val="21"/>
          <w:highlight w:val="none"/>
        </w:rPr>
        <w:t>进度付款和竣工付款之间完成的各项目的工程量计量文件。采用总价合同形式的，签约合同价所基于的工程量就是相应的竣工结算工程量，但是，变更应按合同约定进行计量和计价。</w:t>
      </w:r>
    </w:p>
    <w:p w14:paraId="442C3E76">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14.1.4 竣工结算总价（合同价格）应当按以下内容梳理：</w:t>
      </w:r>
    </w:p>
    <w:p w14:paraId="38FAAF71">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（1）签约合同价；</w:t>
      </w:r>
    </w:p>
    <w:p w14:paraId="225A34E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（2）应当扣减的项目；</w:t>
      </w:r>
    </w:p>
    <w:p w14:paraId="375D11A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1）所有暂列金额；</w:t>
      </w:r>
    </w:p>
    <w:p w14:paraId="780B93D8">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2）所有暂估价；</w:t>
      </w:r>
    </w:p>
    <w:p w14:paraId="4C2BAC8D">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3）根据合同条款应扣减的变更金额；</w:t>
      </w:r>
    </w:p>
    <w:p w14:paraId="17AD1C50">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4）根据合同条款应扣减的价格调整（下调部分）；</w:t>
      </w:r>
    </w:p>
    <w:p w14:paraId="1C9E91CC">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5）根据合同条款应扣减的发包人索赔金额；</w:t>
      </w:r>
    </w:p>
    <w:p w14:paraId="0D4E08D3">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6）甩项工程的合同价值（如果有）；</w:t>
      </w:r>
    </w:p>
    <w:p w14:paraId="681A7FA2">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7）根据合同约定发包人应扣减的其他金额。</w:t>
      </w:r>
    </w:p>
    <w:p w14:paraId="5DCA3FD5">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（3）应当增加的项目；</w:t>
      </w:r>
    </w:p>
    <w:p w14:paraId="469B4EA3">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1）实际发生的暂列金额（包括计日工）；</w:t>
      </w:r>
    </w:p>
    <w:p w14:paraId="28585D1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2）实际发生的暂估价；</w:t>
      </w:r>
    </w:p>
    <w:p w14:paraId="58382132">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3）根据合同条款应增加的变更金额；</w:t>
      </w:r>
    </w:p>
    <w:p w14:paraId="40452A8D">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4）根据合同条款应增加的价格调整（上调部分）；</w:t>
      </w:r>
    </w:p>
    <w:p w14:paraId="461877CE">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5）根据合同条款应增加的承包人索赔金额；</w:t>
      </w:r>
    </w:p>
    <w:p w14:paraId="3AACEF42">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6）根据合同约定承包人应当得到的其他金额。</w:t>
      </w:r>
    </w:p>
    <w:p w14:paraId="5092463B">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（4）规费和税金差额部分。</w:t>
      </w:r>
    </w:p>
    <w:p w14:paraId="498E9AF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14.1.5 最终结清申请单的应付金额应当按下列内容梳理：</w:t>
      </w:r>
    </w:p>
    <w:p w14:paraId="46E07453">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（1）按合同约定扣留的质量保证金；</w:t>
      </w:r>
    </w:p>
    <w:p w14:paraId="1C6DA9E6">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（2）应当扣除的金额：</w:t>
      </w:r>
    </w:p>
    <w:p w14:paraId="13A81B4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1）按合同条款约定扣留的质量保证金；</w:t>
      </w:r>
    </w:p>
    <w:p w14:paraId="4C532F1C">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2）按合同条款约定扣除的质量保证金；</w:t>
      </w:r>
    </w:p>
    <w:p w14:paraId="487D17CB">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3）根据合同条款应扣减的缺陷责任期内发生的发包人索赔金额；</w:t>
      </w:r>
    </w:p>
    <w:p w14:paraId="1AF3826A">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4）根据合同约定应扣减的其他金额。</w:t>
      </w:r>
    </w:p>
    <w:p w14:paraId="5CA9D4D8">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（3）应当增加的金额：</w:t>
      </w:r>
    </w:p>
    <w:p w14:paraId="21DA09C7">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1）已完且符合合同约定的甩项工程的价值；</w:t>
      </w:r>
    </w:p>
    <w:p w14:paraId="69CF8E6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2）按合同条款约定由承包人修复的发包人原因造成的缺陷的价值；</w:t>
      </w:r>
    </w:p>
    <w:p w14:paraId="57643696">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3）根据合同条款应增加的缺陷责任期内发生的承包人索赔金额；</w:t>
      </w:r>
    </w:p>
    <w:p w14:paraId="7D860A6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4）根据合同约定承包人应当得到的其他金额。</w:t>
      </w:r>
    </w:p>
    <w:p w14:paraId="03261BA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最终结清应当由发包人和承包人按照“多退少补”的原则办理。</w:t>
      </w:r>
    </w:p>
    <w:p w14:paraId="2B4FA59F">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14.1.6 竣工付款申请单和最终结清申请单应当比照进度付款申请单的格式准备，并提供相关证明材料。</w:t>
      </w:r>
    </w:p>
    <w:p w14:paraId="0FA8BB24">
      <w:pPr>
        <w:pStyle w:val="10"/>
        <w:spacing w:line="400" w:lineRule="exact"/>
        <w:rPr>
          <w:rFonts w:hint="eastAsia" w:ascii="宋体" w:hAnsi="宋体" w:eastAsia="宋体" w:cs="宋体"/>
          <w:b w:val="0"/>
          <w:bCs w:val="0"/>
          <w:color w:val="auto"/>
          <w:sz w:val="24"/>
          <w:highlight w:val="none"/>
        </w:rPr>
      </w:pPr>
      <w:bookmarkStart w:id="1280" w:name="_Toc300678550"/>
      <w:r>
        <w:rPr>
          <w:rFonts w:hint="eastAsia" w:ascii="宋体" w:hAnsi="宋体" w:eastAsia="宋体" w:cs="宋体"/>
          <w:b w:val="0"/>
          <w:bCs w:val="0"/>
          <w:color w:val="auto"/>
          <w:sz w:val="24"/>
          <w:highlight w:val="none"/>
        </w:rPr>
        <w:t>14.2 其他约定</w:t>
      </w:r>
      <w:bookmarkEnd w:id="1280"/>
    </w:p>
    <w:p w14:paraId="50EFADE9">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其他约定内容：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6EE2F35">
      <w:pPr>
        <w:pStyle w:val="9"/>
        <w:keepNext/>
        <w:keepLines/>
        <w:widowControl w:val="0"/>
        <w:spacing w:line="400" w:lineRule="exact"/>
        <w:jc w:val="left"/>
        <w:rPr>
          <w:rFonts w:hint="eastAsia" w:ascii="宋体" w:hAnsi="宋体" w:eastAsia="宋体" w:cs="宋体"/>
          <w:b w:val="0"/>
          <w:bCs w:val="0"/>
          <w:color w:val="auto"/>
          <w:sz w:val="28"/>
          <w:szCs w:val="28"/>
          <w:highlight w:val="none"/>
        </w:rPr>
      </w:pPr>
      <w:bookmarkStart w:id="1281" w:name="_Toc79998425"/>
      <w:bookmarkStart w:id="1282" w:name="_Toc2566"/>
      <w:bookmarkStart w:id="1283" w:name="_Toc79998869"/>
      <w:bookmarkStart w:id="1284" w:name="_Toc300678551"/>
      <w:bookmarkStart w:id="1285" w:name="_Toc9178566"/>
      <w:bookmarkStart w:id="1286" w:name="_Toc80006249"/>
      <w:bookmarkStart w:id="1287" w:name="_Toc24306"/>
      <w:bookmarkStart w:id="1288" w:name="_Toc80006139"/>
      <w:r>
        <w:rPr>
          <w:rFonts w:hint="eastAsia" w:ascii="宋体" w:hAnsi="宋体" w:eastAsia="宋体" w:cs="宋体"/>
          <w:b w:val="0"/>
          <w:bCs w:val="0"/>
          <w:color w:val="auto"/>
          <w:sz w:val="28"/>
          <w:szCs w:val="28"/>
          <w:highlight w:val="none"/>
        </w:rPr>
        <w:t>15.竣工验收和工程移交</w:t>
      </w:r>
      <w:bookmarkEnd w:id="1281"/>
      <w:bookmarkEnd w:id="1282"/>
      <w:bookmarkEnd w:id="1283"/>
      <w:bookmarkEnd w:id="1284"/>
      <w:bookmarkEnd w:id="1285"/>
      <w:bookmarkEnd w:id="1286"/>
      <w:bookmarkEnd w:id="1287"/>
      <w:bookmarkEnd w:id="1288"/>
    </w:p>
    <w:p w14:paraId="52E0071E">
      <w:pPr>
        <w:pStyle w:val="10"/>
        <w:spacing w:line="400" w:lineRule="exact"/>
        <w:rPr>
          <w:rFonts w:hint="eastAsia" w:ascii="宋体" w:hAnsi="宋体" w:eastAsia="宋体" w:cs="宋体"/>
          <w:b w:val="0"/>
          <w:bCs w:val="0"/>
          <w:color w:val="auto"/>
          <w:sz w:val="24"/>
          <w:highlight w:val="none"/>
        </w:rPr>
      </w:pPr>
      <w:bookmarkStart w:id="1289" w:name="_Toc300678552"/>
      <w:r>
        <w:rPr>
          <w:rFonts w:hint="eastAsia" w:ascii="宋体" w:hAnsi="宋体" w:eastAsia="宋体" w:cs="宋体"/>
          <w:b w:val="0"/>
          <w:bCs w:val="0"/>
          <w:color w:val="auto"/>
          <w:sz w:val="24"/>
          <w:highlight w:val="none"/>
        </w:rPr>
        <w:t>15.1 竣工验收前的清理</w:t>
      </w:r>
      <w:bookmarkEnd w:id="1289"/>
    </w:p>
    <w:p w14:paraId="2D4FC975">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15.1.1 在向监理人提交竣工验收申请报告前，承包人应当完成竣工验收前的清理工作，包括但不限于：</w:t>
      </w:r>
    </w:p>
    <w:p w14:paraId="608D5B43">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（1）从永久工程内清除所有剩余材料、杂物、垃圾等等；</w:t>
      </w:r>
    </w:p>
    <w:p w14:paraId="3E1F4E06">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（2）清洗工程的所有地面、墙面、楼面、路面等表面；</w:t>
      </w:r>
    </w:p>
    <w:p w14:paraId="388DF574">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（3）清洗和擦洗所有玻璃、磁砖、石材和所有金属面；</w:t>
      </w:r>
    </w:p>
    <w:p w14:paraId="747E03D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（4）修缮所有损坏、清除所有污迹、替换所有需更换的材料；</w:t>
      </w:r>
    </w:p>
    <w:p w14:paraId="4EA91E83">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（5）所有表面完成约定的装修和装饰；</w:t>
      </w:r>
    </w:p>
    <w:p w14:paraId="1C49782F">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（6）检查和调试所有的门、窗、抽屉等以确保他们开启的顺畅；</w:t>
      </w:r>
    </w:p>
    <w:p w14:paraId="04240EBF">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（7）检查和调试所有的五金件并上油；</w:t>
      </w:r>
    </w:p>
    <w:p w14:paraId="4E9CFA0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（8）检查、测试和确保所有服务系统、设施和设备达到良好的运行状态和效果；</w:t>
      </w:r>
    </w:p>
    <w:p w14:paraId="7856CDEF">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（9）所有钥匙（如果有）贴上标签并固定到钥匙排上随时可以交给监理人。</w:t>
      </w:r>
    </w:p>
    <w:p w14:paraId="2BA57994">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15.1.2 清理工作所需费用由承包人承担。</w:t>
      </w:r>
    </w:p>
    <w:p w14:paraId="1BDB6565">
      <w:pPr>
        <w:pStyle w:val="10"/>
        <w:spacing w:line="400" w:lineRule="exact"/>
        <w:rPr>
          <w:rFonts w:hint="eastAsia" w:ascii="宋体" w:hAnsi="宋体" w:eastAsia="宋体" w:cs="宋体"/>
          <w:b w:val="0"/>
          <w:bCs w:val="0"/>
          <w:color w:val="auto"/>
          <w:sz w:val="24"/>
          <w:highlight w:val="none"/>
        </w:rPr>
      </w:pPr>
      <w:bookmarkStart w:id="1290" w:name="_Toc300678553"/>
      <w:r>
        <w:rPr>
          <w:rFonts w:hint="eastAsia" w:ascii="宋体" w:hAnsi="宋体" w:eastAsia="宋体" w:cs="宋体"/>
          <w:b w:val="0"/>
          <w:bCs w:val="0"/>
          <w:color w:val="auto"/>
          <w:sz w:val="24"/>
          <w:highlight w:val="none"/>
        </w:rPr>
        <w:t>15.2 竣工验收申请报告</w:t>
      </w:r>
      <w:bookmarkEnd w:id="1290"/>
    </w:p>
    <w:p w14:paraId="19C0F614">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14:paraId="68BAE5C2">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14:paraId="2B47B5F5">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15.2.3 竣工验收申请报告应当按合同条款附上下列内容：</w:t>
      </w:r>
    </w:p>
    <w:p w14:paraId="183C0FDD">
      <w:pPr>
        <w:spacing w:line="400" w:lineRule="exact"/>
        <w:ind w:firstLine="460" w:firstLineChars="200"/>
        <w:jc w:val="left"/>
        <w:rPr>
          <w:rFonts w:hint="eastAsia" w:ascii="宋体" w:hAnsi="宋体" w:eastAsia="宋体" w:cs="宋体"/>
          <w:color w:val="auto"/>
          <w:spacing w:val="10"/>
          <w:szCs w:val="21"/>
          <w:highlight w:val="none"/>
        </w:rPr>
      </w:pPr>
      <w:r>
        <w:rPr>
          <w:rFonts w:hint="eastAsia" w:ascii="宋体" w:hAnsi="宋体" w:eastAsia="宋体" w:cs="宋体"/>
          <w:color w:val="auto"/>
          <w:spacing w:val="10"/>
          <w:szCs w:val="21"/>
          <w:highlight w:val="none"/>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14:paraId="3619CDB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（2）按合同条款约定的内容和份数整理的符合要求的竣工资料；</w:t>
      </w:r>
    </w:p>
    <w:p w14:paraId="6B50C85C">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（3）按监理人的要求编制了在缺陷责任期内完成的尾工（甩项）工程和缺陷修补工作清单以及相应施工计划；</w:t>
      </w:r>
    </w:p>
    <w:p w14:paraId="0CD42E50">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（4）监理人要求在竣工验收前应完成的其他工作的证明材料；</w:t>
      </w:r>
    </w:p>
    <w:p w14:paraId="5F9A3B7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（5）监理人要求提交的竣工验收资料清单；</w:t>
      </w:r>
    </w:p>
    <w:p w14:paraId="0BA4D96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（6）合同条款约定的单位工程竣工验收成果和结论文件（如果有）；</w:t>
      </w:r>
    </w:p>
    <w:p w14:paraId="5A4B697E">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（7）合同附件约定的质量保修书（此前已经提交的不再提交）；</w:t>
      </w:r>
    </w:p>
    <w:p w14:paraId="15387094">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73C1197">
      <w:pPr>
        <w:pStyle w:val="10"/>
        <w:spacing w:line="400" w:lineRule="exact"/>
        <w:rPr>
          <w:rFonts w:hint="eastAsia" w:ascii="宋体" w:hAnsi="宋体" w:eastAsia="宋体" w:cs="宋体"/>
          <w:b w:val="0"/>
          <w:bCs w:val="0"/>
          <w:color w:val="auto"/>
          <w:sz w:val="24"/>
          <w:highlight w:val="none"/>
        </w:rPr>
      </w:pPr>
      <w:bookmarkStart w:id="1291" w:name="_Toc300678554"/>
      <w:r>
        <w:rPr>
          <w:rFonts w:hint="eastAsia" w:ascii="宋体" w:hAnsi="宋体" w:eastAsia="宋体" w:cs="宋体"/>
          <w:b w:val="0"/>
          <w:bCs w:val="0"/>
          <w:color w:val="auto"/>
          <w:sz w:val="24"/>
          <w:highlight w:val="none"/>
        </w:rPr>
        <w:t>15.3 竣工清场</w:t>
      </w:r>
      <w:bookmarkEnd w:id="1291"/>
    </w:p>
    <w:p w14:paraId="47B806B5">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15.3.1 监理人颁发（出具）工程接收证书后，承包人应在56天内按以下要求对施工场地（现场）进行清理：</w:t>
      </w:r>
    </w:p>
    <w:p w14:paraId="44837B31">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（1）从施工场地（现场）清除所有杂物和垃圾等等；</w:t>
      </w:r>
    </w:p>
    <w:p w14:paraId="014BF78B">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（2）从施工场地现场拆除所有的临时工程和临时设施并恢复地面原状，但经监理人批准的护坡桩、锚杆、塔吊基础和无法拆除的埋入式模板等无法拆除的临时设施除外；</w:t>
      </w:r>
    </w:p>
    <w:p w14:paraId="0A86DA61">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（3）撤离所有承包人施工设备和剩余材料（经监理人同意需在缺陷责任期内继续使用的除外）；</w:t>
      </w:r>
    </w:p>
    <w:p w14:paraId="6DB16AC2">
      <w:pPr>
        <w:spacing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（4）监理人指示的其他清场工作。</w:t>
      </w:r>
    </w:p>
    <w:p w14:paraId="3D0C8BB6">
      <w:pPr>
        <w:pStyle w:val="9"/>
        <w:keepNext/>
        <w:keepLines/>
        <w:widowControl w:val="0"/>
        <w:spacing w:line="400" w:lineRule="exact"/>
        <w:jc w:val="left"/>
        <w:rPr>
          <w:rFonts w:hint="eastAsia" w:ascii="宋体" w:hAnsi="宋体" w:eastAsia="宋体" w:cs="宋体"/>
          <w:b w:val="0"/>
          <w:bCs w:val="0"/>
          <w:color w:val="auto"/>
          <w:sz w:val="28"/>
          <w:szCs w:val="28"/>
          <w:highlight w:val="none"/>
        </w:rPr>
      </w:pPr>
      <w:bookmarkStart w:id="1292" w:name="_Toc9178567"/>
      <w:bookmarkStart w:id="1293" w:name="_Toc80006140"/>
      <w:bookmarkStart w:id="1294" w:name="_Toc1932"/>
      <w:bookmarkStart w:id="1295" w:name="_Toc80006250"/>
      <w:bookmarkStart w:id="1296" w:name="_Toc4552"/>
      <w:bookmarkStart w:id="1297" w:name="_Toc79998870"/>
      <w:bookmarkStart w:id="1298" w:name="_Toc79998426"/>
      <w:bookmarkStart w:id="1299" w:name="_Toc300678555"/>
      <w:r>
        <w:rPr>
          <w:rFonts w:hint="eastAsia" w:ascii="宋体" w:hAnsi="宋体" w:eastAsia="宋体" w:cs="宋体"/>
          <w:b w:val="0"/>
          <w:bCs w:val="0"/>
          <w:color w:val="auto"/>
          <w:sz w:val="28"/>
          <w:szCs w:val="28"/>
          <w:highlight w:val="none"/>
        </w:rPr>
        <w:t>16.其他</w:t>
      </w:r>
      <w:bookmarkEnd w:id="1292"/>
      <w:bookmarkEnd w:id="1293"/>
      <w:bookmarkEnd w:id="1294"/>
      <w:bookmarkEnd w:id="1295"/>
      <w:bookmarkEnd w:id="1296"/>
      <w:bookmarkEnd w:id="1297"/>
      <w:bookmarkEnd w:id="1298"/>
    </w:p>
    <w:bookmarkEnd w:id="1299"/>
    <w:p w14:paraId="26F97D1B">
      <w:pPr>
        <w:spacing w:line="360" w:lineRule="auto"/>
        <w:ind w:firstLine="420" w:firstLineChars="200"/>
        <w:jc w:val="left"/>
        <w:rPr>
          <w:rFonts w:hint="eastAsia" w:ascii="宋体" w:hAnsi="宋体" w:eastAsia="宋体" w:cs="宋体"/>
          <w:color w:val="auto"/>
          <w:szCs w:val="21"/>
          <w:highlight w:val="none"/>
        </w:rPr>
      </w:pPr>
      <w:bookmarkStart w:id="1300" w:name="_Toc300678556"/>
    </w:p>
    <w:p w14:paraId="2A3662CA">
      <w:pPr>
        <w:spacing w:line="360" w:lineRule="auto"/>
        <w:ind w:firstLine="420" w:firstLineChars="200"/>
        <w:jc w:val="left"/>
        <w:rPr>
          <w:rFonts w:hint="eastAsia" w:ascii="宋体" w:hAnsi="宋体" w:eastAsia="宋体" w:cs="宋体"/>
          <w:color w:val="auto"/>
          <w:szCs w:val="21"/>
          <w:highlight w:val="none"/>
        </w:rPr>
      </w:pPr>
    </w:p>
    <w:p w14:paraId="4B5D0CF4">
      <w:pPr>
        <w:pStyle w:val="8"/>
        <w:spacing w:before="0" w:after="0" w:line="360" w:lineRule="auto"/>
        <w:jc w:val="center"/>
        <w:rPr>
          <w:rFonts w:hint="eastAsia" w:ascii="宋体" w:hAnsi="宋体" w:eastAsia="宋体" w:cs="宋体"/>
          <w:b w:val="0"/>
          <w:bCs w:val="0"/>
          <w:color w:val="auto"/>
          <w:sz w:val="30"/>
          <w:highlight w:val="none"/>
        </w:rPr>
      </w:pPr>
      <w:bookmarkStart w:id="1301" w:name="_Toc17370"/>
      <w:bookmarkStart w:id="1302" w:name="_Toc14845"/>
      <w:bookmarkStart w:id="1303" w:name="_Toc80006251"/>
      <w:bookmarkStart w:id="1304" w:name="_Toc31675"/>
      <w:bookmarkStart w:id="1305" w:name="_Toc20334"/>
      <w:bookmarkStart w:id="1306" w:name="_Toc80006141"/>
      <w:bookmarkStart w:id="1307" w:name="_Toc28812"/>
      <w:r>
        <w:rPr>
          <w:rFonts w:hint="eastAsia" w:ascii="宋体" w:hAnsi="宋体" w:eastAsia="宋体" w:cs="宋体"/>
          <w:b w:val="0"/>
          <w:bCs w:val="0"/>
          <w:color w:val="auto"/>
          <w:sz w:val="30"/>
          <w:highlight w:val="none"/>
        </w:rPr>
        <w:t>第二节  特殊技术标准和要求</w:t>
      </w:r>
      <w:bookmarkEnd w:id="1300"/>
      <w:bookmarkEnd w:id="1301"/>
      <w:bookmarkEnd w:id="1302"/>
      <w:bookmarkEnd w:id="1303"/>
      <w:bookmarkEnd w:id="1304"/>
      <w:bookmarkEnd w:id="1305"/>
      <w:bookmarkEnd w:id="1306"/>
      <w:bookmarkEnd w:id="1307"/>
    </w:p>
    <w:p w14:paraId="78836DC8">
      <w:pPr>
        <w:pStyle w:val="9"/>
        <w:keepNext/>
        <w:keepLines/>
        <w:widowControl w:val="0"/>
        <w:jc w:val="left"/>
        <w:rPr>
          <w:rFonts w:hint="eastAsia" w:ascii="宋体" w:hAnsi="宋体" w:eastAsia="宋体" w:cs="宋体"/>
          <w:b w:val="0"/>
          <w:bCs w:val="0"/>
          <w:color w:val="auto"/>
          <w:sz w:val="28"/>
          <w:szCs w:val="28"/>
          <w:highlight w:val="none"/>
        </w:rPr>
      </w:pPr>
      <w:bookmarkStart w:id="1308" w:name="_Toc80006252"/>
      <w:bookmarkStart w:id="1309" w:name="_Toc9178569"/>
      <w:bookmarkStart w:id="1310" w:name="_Toc300678557"/>
      <w:bookmarkStart w:id="1311" w:name="_Toc80006142"/>
      <w:bookmarkStart w:id="1312" w:name="_Toc15722"/>
      <w:bookmarkStart w:id="1313" w:name="_Toc28061"/>
      <w:r>
        <w:rPr>
          <w:rFonts w:hint="eastAsia" w:ascii="宋体" w:hAnsi="宋体" w:eastAsia="宋体" w:cs="宋体"/>
          <w:b w:val="0"/>
          <w:bCs w:val="0"/>
          <w:color w:val="auto"/>
          <w:sz w:val="28"/>
          <w:szCs w:val="28"/>
          <w:highlight w:val="none"/>
        </w:rPr>
        <w:t>1.材料和工程设备技术要求</w:t>
      </w:r>
      <w:bookmarkEnd w:id="1308"/>
      <w:bookmarkEnd w:id="1309"/>
      <w:bookmarkEnd w:id="1310"/>
      <w:bookmarkEnd w:id="1311"/>
      <w:bookmarkEnd w:id="1312"/>
      <w:bookmarkEnd w:id="1313"/>
    </w:p>
    <w:p w14:paraId="6970E2A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 承包人自行施工范围内的部分材料和工程设备技术要求如下：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5A7203CD">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14:paraId="5E3B5BD4">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 承包人自行施工范围内的材料和工程设备选型允许的偏离如下：</w:t>
      </w:r>
    </w:p>
    <w:tbl>
      <w:tblPr>
        <w:tblStyle w:val="42"/>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146"/>
        <w:gridCol w:w="1766"/>
        <w:gridCol w:w="1766"/>
        <w:gridCol w:w="1470"/>
      </w:tblGrid>
      <w:tr w14:paraId="0DDA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275" w:type="dxa"/>
            <w:vAlign w:val="center"/>
          </w:tcPr>
          <w:p w14:paraId="6798B49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序号</w:t>
            </w:r>
          </w:p>
        </w:tc>
        <w:tc>
          <w:tcPr>
            <w:tcW w:w="2146" w:type="dxa"/>
            <w:vAlign w:val="center"/>
          </w:tcPr>
          <w:p w14:paraId="59856A2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材料和工程设备</w:t>
            </w:r>
          </w:p>
          <w:p w14:paraId="110C414D">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名称</w:t>
            </w:r>
          </w:p>
        </w:tc>
        <w:tc>
          <w:tcPr>
            <w:tcW w:w="1766" w:type="dxa"/>
            <w:vAlign w:val="center"/>
          </w:tcPr>
          <w:p w14:paraId="161497A3">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技术指标</w:t>
            </w:r>
          </w:p>
        </w:tc>
        <w:tc>
          <w:tcPr>
            <w:tcW w:w="1766" w:type="dxa"/>
            <w:vAlign w:val="center"/>
          </w:tcPr>
          <w:p w14:paraId="35F46A5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允许偏离范围</w:t>
            </w:r>
          </w:p>
        </w:tc>
        <w:tc>
          <w:tcPr>
            <w:tcW w:w="1470" w:type="dxa"/>
            <w:vAlign w:val="center"/>
          </w:tcPr>
          <w:p w14:paraId="4582B619">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备    注</w:t>
            </w:r>
          </w:p>
        </w:tc>
      </w:tr>
      <w:tr w14:paraId="5ABB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vAlign w:val="center"/>
          </w:tcPr>
          <w:p w14:paraId="53810C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1</w:t>
            </w:r>
          </w:p>
        </w:tc>
        <w:tc>
          <w:tcPr>
            <w:tcW w:w="2146" w:type="dxa"/>
            <w:vAlign w:val="center"/>
          </w:tcPr>
          <w:p w14:paraId="5684E1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49AB8A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7D05B3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470" w:type="dxa"/>
            <w:vAlign w:val="center"/>
          </w:tcPr>
          <w:p w14:paraId="5DE202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r>
      <w:tr w14:paraId="4F00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vAlign w:val="center"/>
          </w:tcPr>
          <w:p w14:paraId="19DA24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2</w:t>
            </w:r>
          </w:p>
        </w:tc>
        <w:tc>
          <w:tcPr>
            <w:tcW w:w="2146" w:type="dxa"/>
            <w:vAlign w:val="center"/>
          </w:tcPr>
          <w:p w14:paraId="4DB3DB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377E2C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3D3C70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470" w:type="dxa"/>
            <w:vAlign w:val="center"/>
          </w:tcPr>
          <w:p w14:paraId="137B96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r>
      <w:tr w14:paraId="0180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vAlign w:val="center"/>
          </w:tcPr>
          <w:p w14:paraId="0E6D52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w:t>
            </w:r>
          </w:p>
        </w:tc>
        <w:tc>
          <w:tcPr>
            <w:tcW w:w="2146" w:type="dxa"/>
            <w:vAlign w:val="center"/>
          </w:tcPr>
          <w:p w14:paraId="075149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28492D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3142DA2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470" w:type="dxa"/>
            <w:vAlign w:val="center"/>
          </w:tcPr>
          <w:p w14:paraId="38F0EC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r>
      <w:tr w14:paraId="5405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75" w:type="dxa"/>
            <w:vAlign w:val="center"/>
          </w:tcPr>
          <w:p w14:paraId="025256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2146" w:type="dxa"/>
            <w:vAlign w:val="center"/>
          </w:tcPr>
          <w:p w14:paraId="6845A2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1E23E79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766" w:type="dxa"/>
            <w:vAlign w:val="center"/>
          </w:tcPr>
          <w:p w14:paraId="2AC8A8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c>
          <w:tcPr>
            <w:tcW w:w="1470" w:type="dxa"/>
            <w:vAlign w:val="center"/>
          </w:tcPr>
          <w:p w14:paraId="42EFDD0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18"/>
                <w:szCs w:val="21"/>
                <w:highlight w:val="none"/>
              </w:rPr>
            </w:pPr>
          </w:p>
        </w:tc>
      </w:tr>
    </w:tbl>
    <w:p w14:paraId="3A2B33AF">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 本工程施工现场所用混凝土或砂浆的供应方式为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9B03CE3">
      <w:pPr>
        <w:pStyle w:val="9"/>
        <w:keepNext/>
        <w:keepLines/>
        <w:widowControl w:val="0"/>
        <w:jc w:val="left"/>
        <w:rPr>
          <w:rFonts w:hint="eastAsia" w:ascii="宋体" w:hAnsi="宋体" w:eastAsia="宋体" w:cs="宋体"/>
          <w:b w:val="0"/>
          <w:bCs w:val="0"/>
          <w:color w:val="auto"/>
          <w:sz w:val="28"/>
          <w:szCs w:val="28"/>
          <w:highlight w:val="none"/>
        </w:rPr>
      </w:pPr>
      <w:bookmarkStart w:id="1314" w:name="_Toc9500"/>
      <w:bookmarkStart w:id="1315" w:name="_Toc9178570"/>
      <w:bookmarkStart w:id="1316" w:name="_Toc19952"/>
      <w:bookmarkStart w:id="1317" w:name="_Toc80006143"/>
      <w:bookmarkStart w:id="1318" w:name="_Toc300678558"/>
      <w:bookmarkStart w:id="1319" w:name="_Toc80006253"/>
      <w:r>
        <w:rPr>
          <w:rFonts w:hint="eastAsia" w:ascii="宋体" w:hAnsi="宋体" w:eastAsia="宋体" w:cs="宋体"/>
          <w:b w:val="0"/>
          <w:bCs w:val="0"/>
          <w:color w:val="auto"/>
          <w:sz w:val="28"/>
          <w:szCs w:val="28"/>
          <w:highlight w:val="none"/>
        </w:rPr>
        <w:t>2.特殊技术要求</w:t>
      </w:r>
      <w:bookmarkEnd w:id="1314"/>
      <w:bookmarkEnd w:id="1315"/>
      <w:bookmarkEnd w:id="1316"/>
      <w:bookmarkEnd w:id="1317"/>
      <w:bookmarkEnd w:id="1318"/>
      <w:bookmarkEnd w:id="1319"/>
    </w:p>
    <w:p w14:paraId="7DC423B2">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除合同约定的技术要求外，本工程的特殊技术要求如下：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742B693">
      <w:pPr>
        <w:pStyle w:val="9"/>
        <w:keepNext/>
        <w:keepLines/>
        <w:widowControl w:val="0"/>
        <w:jc w:val="left"/>
        <w:rPr>
          <w:rFonts w:hint="eastAsia" w:ascii="宋体" w:hAnsi="宋体" w:eastAsia="宋体" w:cs="宋体"/>
          <w:b w:val="0"/>
          <w:bCs w:val="0"/>
          <w:color w:val="auto"/>
          <w:sz w:val="28"/>
          <w:szCs w:val="28"/>
          <w:highlight w:val="none"/>
        </w:rPr>
      </w:pPr>
      <w:bookmarkStart w:id="1320" w:name="_Toc9178571"/>
      <w:bookmarkStart w:id="1321" w:name="_Toc80006254"/>
      <w:bookmarkStart w:id="1322" w:name="_Toc80006144"/>
      <w:bookmarkStart w:id="1323" w:name="_Toc4474"/>
      <w:bookmarkStart w:id="1324" w:name="_Toc300678559"/>
      <w:bookmarkStart w:id="1325" w:name="_Toc31632"/>
      <w:r>
        <w:rPr>
          <w:rFonts w:hint="eastAsia" w:ascii="宋体" w:hAnsi="宋体" w:eastAsia="宋体" w:cs="宋体"/>
          <w:b w:val="0"/>
          <w:bCs w:val="0"/>
          <w:color w:val="auto"/>
          <w:sz w:val="28"/>
          <w:szCs w:val="28"/>
          <w:highlight w:val="none"/>
        </w:rPr>
        <w:t>3.新技术、新工艺和新材料</w:t>
      </w:r>
      <w:bookmarkEnd w:id="1320"/>
      <w:bookmarkEnd w:id="1321"/>
      <w:bookmarkEnd w:id="1322"/>
      <w:bookmarkEnd w:id="1323"/>
      <w:bookmarkEnd w:id="1324"/>
      <w:bookmarkEnd w:id="1325"/>
    </w:p>
    <w:p w14:paraId="44AB0F4F">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 本工程涉及的新技术、新工艺和新材料及相应使用和操作说明如下：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9719677">
      <w:pPr>
        <w:pStyle w:val="9"/>
        <w:keepNext/>
        <w:keepLines/>
        <w:widowControl w:val="0"/>
        <w:jc w:val="left"/>
        <w:rPr>
          <w:rFonts w:hint="eastAsia" w:ascii="宋体" w:hAnsi="宋体" w:eastAsia="宋体" w:cs="宋体"/>
          <w:b w:val="0"/>
          <w:bCs w:val="0"/>
          <w:color w:val="auto"/>
          <w:sz w:val="28"/>
          <w:szCs w:val="28"/>
          <w:highlight w:val="none"/>
        </w:rPr>
      </w:pPr>
      <w:bookmarkStart w:id="1326" w:name="_Toc80006256"/>
      <w:bookmarkStart w:id="1327" w:name="_Toc9459"/>
      <w:bookmarkStart w:id="1328" w:name="_Toc1622"/>
      <w:bookmarkStart w:id="1329" w:name="_Toc80006146"/>
      <w:r>
        <w:rPr>
          <w:rFonts w:hint="eastAsia" w:ascii="宋体" w:hAnsi="宋体" w:eastAsia="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.其他要求</w:t>
      </w:r>
      <w:bookmarkEnd w:id="1326"/>
      <w:bookmarkEnd w:id="1327"/>
      <w:bookmarkEnd w:id="1328"/>
      <w:bookmarkEnd w:id="1329"/>
    </w:p>
    <w:p w14:paraId="2CC56E67">
      <w:pPr>
        <w:pStyle w:val="8"/>
        <w:jc w:val="center"/>
        <w:outlineLvl w:val="9"/>
        <w:rPr>
          <w:rFonts w:hint="eastAsia" w:ascii="宋体" w:hAnsi="宋体" w:eastAsia="宋体" w:cs="宋体"/>
          <w:b w:val="0"/>
          <w:bCs w:val="0"/>
          <w:color w:val="auto"/>
          <w:sz w:val="30"/>
          <w:highlight w:val="none"/>
        </w:rPr>
      </w:pPr>
      <w:bookmarkStart w:id="1330" w:name="_Toc300678561"/>
      <w:bookmarkStart w:id="1331" w:name="_Toc80006147"/>
      <w:bookmarkStart w:id="1332" w:name="_Toc80006257"/>
    </w:p>
    <w:p w14:paraId="2FF9DA8C">
      <w:pPr>
        <w:pStyle w:val="8"/>
        <w:jc w:val="center"/>
        <w:outlineLvl w:val="9"/>
        <w:rPr>
          <w:rFonts w:hint="eastAsia" w:ascii="宋体" w:hAnsi="宋体" w:eastAsia="宋体" w:cs="宋体"/>
          <w:b w:val="0"/>
          <w:bCs w:val="0"/>
          <w:color w:val="auto"/>
          <w:sz w:val="30"/>
          <w:highlight w:val="none"/>
        </w:rPr>
      </w:pPr>
    </w:p>
    <w:p w14:paraId="671E697E">
      <w:pPr>
        <w:pStyle w:val="8"/>
        <w:jc w:val="center"/>
        <w:rPr>
          <w:rFonts w:hint="eastAsia" w:ascii="宋体" w:hAnsi="宋体" w:eastAsia="宋体" w:cs="宋体"/>
          <w:b w:val="0"/>
          <w:bCs w:val="0"/>
          <w:color w:val="auto"/>
          <w:sz w:val="30"/>
          <w:highlight w:val="none"/>
        </w:rPr>
      </w:pPr>
      <w:bookmarkStart w:id="1333" w:name="_Toc22522"/>
      <w:bookmarkStart w:id="1334" w:name="_Toc23919"/>
      <w:bookmarkStart w:id="1335" w:name="_Toc2485"/>
      <w:bookmarkStart w:id="1336" w:name="_Toc27845"/>
      <w:bookmarkStart w:id="1337" w:name="_Toc14020"/>
      <w:r>
        <w:rPr>
          <w:rFonts w:hint="eastAsia" w:ascii="宋体" w:hAnsi="宋体" w:eastAsia="宋体" w:cs="宋体"/>
          <w:b w:val="0"/>
          <w:bCs w:val="0"/>
          <w:color w:val="auto"/>
          <w:sz w:val="30"/>
          <w:highlight w:val="none"/>
        </w:rPr>
        <w:t>第三节  适用的国家、行业以及地方规范、标准和规程</w:t>
      </w:r>
      <w:bookmarkEnd w:id="1330"/>
      <w:bookmarkEnd w:id="1331"/>
      <w:bookmarkEnd w:id="1332"/>
      <w:bookmarkEnd w:id="1333"/>
      <w:bookmarkEnd w:id="1334"/>
      <w:bookmarkEnd w:id="1335"/>
      <w:bookmarkEnd w:id="1336"/>
      <w:bookmarkEnd w:id="1337"/>
    </w:p>
    <w:p w14:paraId="4BC164C0">
      <w:pPr>
        <w:spacing w:line="360" w:lineRule="auto"/>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说明：本节内容只需列出规范、标准、规程等的名称、编号等内容。由招标人根据国家、行业和地方现行标准、规范和规程等，以及项目具体情况摘录。</w:t>
      </w:r>
    </w:p>
    <w:p w14:paraId="10CA2751">
      <w:pPr>
        <w:spacing w:line="360" w:lineRule="auto"/>
        <w:jc w:val="left"/>
        <w:rPr>
          <w:rFonts w:hint="eastAsia" w:ascii="宋体" w:hAnsi="宋体" w:eastAsia="宋体" w:cs="宋体"/>
          <w:color w:val="auto"/>
          <w:highlight w:val="none"/>
        </w:rPr>
      </w:pPr>
    </w:p>
    <w:p w14:paraId="69D753CC">
      <w:pPr>
        <w:spacing w:line="360" w:lineRule="auto"/>
        <w:jc w:val="left"/>
        <w:rPr>
          <w:rFonts w:hint="eastAsia" w:ascii="宋体" w:hAnsi="宋体" w:eastAsia="宋体" w:cs="宋体"/>
          <w:color w:val="auto"/>
          <w:highlight w:val="none"/>
        </w:rPr>
      </w:pPr>
      <w:bookmarkStart w:id="1338" w:name="_Toc300678562"/>
    </w:p>
    <w:p w14:paraId="62F9A13D">
      <w:pPr>
        <w:spacing w:line="360" w:lineRule="auto"/>
        <w:jc w:val="left"/>
        <w:rPr>
          <w:rFonts w:hint="eastAsia" w:ascii="宋体" w:hAnsi="宋体" w:eastAsia="宋体" w:cs="宋体"/>
          <w:color w:val="auto"/>
          <w:highlight w:val="none"/>
        </w:rPr>
      </w:pPr>
    </w:p>
    <w:p w14:paraId="7F58EC86">
      <w:pPr>
        <w:spacing w:line="360" w:lineRule="auto"/>
        <w:jc w:val="left"/>
        <w:rPr>
          <w:rFonts w:hint="eastAsia" w:ascii="宋体" w:hAnsi="宋体" w:eastAsia="宋体" w:cs="宋体"/>
          <w:color w:val="auto"/>
          <w:highlight w:val="none"/>
        </w:rPr>
      </w:pPr>
    </w:p>
    <w:p w14:paraId="3E2CCAF7">
      <w:pPr>
        <w:spacing w:line="360" w:lineRule="auto"/>
        <w:jc w:val="left"/>
        <w:rPr>
          <w:rFonts w:hint="eastAsia" w:ascii="宋体" w:hAnsi="宋体" w:eastAsia="宋体" w:cs="宋体"/>
          <w:color w:val="auto"/>
          <w:highlight w:val="none"/>
        </w:rPr>
      </w:pPr>
    </w:p>
    <w:p w14:paraId="2B287659">
      <w:pPr>
        <w:pStyle w:val="10"/>
        <w:outlineLvl w:val="0"/>
        <w:rPr>
          <w:rFonts w:hint="eastAsia" w:ascii="宋体" w:hAnsi="宋体" w:eastAsia="宋体" w:cs="宋体"/>
          <w:b w:val="0"/>
          <w:bCs w:val="0"/>
          <w:color w:val="auto"/>
          <w:sz w:val="24"/>
          <w:highlight w:val="none"/>
        </w:rPr>
      </w:pPr>
      <w:bookmarkStart w:id="1339" w:name="_Toc25238"/>
      <w:bookmarkStart w:id="1340" w:name="_Toc20730"/>
      <w:bookmarkStart w:id="1341" w:name="_Toc27420"/>
      <w:bookmarkStart w:id="1342" w:name="_Toc8227"/>
      <w:bookmarkStart w:id="1343" w:name="_Toc27879"/>
      <w:bookmarkStart w:id="1344" w:name="_Toc27915"/>
      <w:r>
        <w:rPr>
          <w:rFonts w:hint="eastAsia" w:ascii="宋体" w:hAnsi="宋体" w:eastAsia="宋体" w:cs="宋体"/>
          <w:b w:val="0"/>
          <w:bCs w:val="0"/>
          <w:color w:val="auto"/>
          <w:sz w:val="24"/>
          <w:highlight w:val="none"/>
        </w:rPr>
        <w:t>附件7-1：施工现场现状平面图</w:t>
      </w:r>
      <w:bookmarkEnd w:id="1338"/>
      <w:bookmarkEnd w:id="1339"/>
      <w:bookmarkEnd w:id="1340"/>
      <w:bookmarkEnd w:id="1341"/>
      <w:bookmarkEnd w:id="1342"/>
      <w:bookmarkEnd w:id="1343"/>
      <w:bookmarkEnd w:id="1344"/>
    </w:p>
    <w:p w14:paraId="17A2E605">
      <w:pPr>
        <w:spacing w:line="360" w:lineRule="auto"/>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说明：该图由招标人准备，并作为招标文件本章的组成内容提供给投标人。图中应当标示本章第一节第1.2.1项规定的内容，并做必要的文字说明。</w:t>
      </w:r>
    </w:p>
    <w:p w14:paraId="2333289D">
      <w:pPr>
        <w:spacing w:line="360" w:lineRule="auto"/>
        <w:jc w:val="left"/>
        <w:rPr>
          <w:rFonts w:hint="eastAsia" w:ascii="宋体" w:hAnsi="宋体" w:eastAsia="宋体" w:cs="宋体"/>
          <w:color w:val="auto"/>
          <w:sz w:val="18"/>
          <w:szCs w:val="18"/>
          <w:highlight w:val="none"/>
        </w:rPr>
      </w:pPr>
      <w:r>
        <w:rPr>
          <w:rFonts w:hint="eastAsia" w:ascii="宋体" w:hAnsi="宋体" w:eastAsia="宋体" w:cs="宋体"/>
          <w:color w:val="auto"/>
          <w:szCs w:val="21"/>
          <w:highlight w:val="none"/>
        </w:rPr>
        <w:br w:type="page"/>
      </w:r>
    </w:p>
    <w:p w14:paraId="66ABD2DE">
      <w:pPr>
        <w:spacing w:line="360" w:lineRule="auto"/>
        <w:jc w:val="left"/>
        <w:rPr>
          <w:rFonts w:hint="eastAsia" w:ascii="宋体" w:hAnsi="宋体" w:eastAsia="宋体" w:cs="宋体"/>
          <w:color w:val="auto"/>
          <w:sz w:val="18"/>
          <w:szCs w:val="18"/>
          <w:highlight w:val="none"/>
        </w:rPr>
      </w:pPr>
      <w:bookmarkStart w:id="1345" w:name="_Toc300678563"/>
    </w:p>
    <w:p w14:paraId="027E7569">
      <w:pPr>
        <w:jc w:val="center"/>
        <w:outlineLvl w:val="0"/>
        <w:rPr>
          <w:rFonts w:hint="eastAsia" w:ascii="宋体" w:hAnsi="宋体" w:eastAsia="宋体" w:cs="宋体"/>
          <w:b w:val="0"/>
          <w:bCs w:val="0"/>
          <w:color w:val="auto"/>
          <w:sz w:val="44"/>
          <w:szCs w:val="44"/>
          <w:highlight w:val="none"/>
        </w:rPr>
      </w:pPr>
      <w:bookmarkStart w:id="1346" w:name="_Toc10807"/>
      <w:bookmarkStart w:id="1347" w:name="_Toc26823"/>
      <w:bookmarkStart w:id="1348" w:name="_Toc80006148"/>
      <w:bookmarkStart w:id="1349" w:name="_Toc8507"/>
      <w:bookmarkStart w:id="1350" w:name="_Toc80006258"/>
      <w:bookmarkStart w:id="1351" w:name="_Toc24685"/>
      <w:r>
        <w:rPr>
          <w:rFonts w:hint="eastAsia" w:ascii="宋体" w:hAnsi="宋体" w:eastAsia="宋体" w:cs="宋体"/>
          <w:b w:val="0"/>
          <w:bCs w:val="0"/>
          <w:color w:val="auto"/>
          <w:sz w:val="44"/>
          <w:szCs w:val="44"/>
          <w:highlight w:val="none"/>
        </w:rPr>
        <w:t>第  四  卷</w:t>
      </w:r>
      <w:bookmarkEnd w:id="1345"/>
      <w:bookmarkEnd w:id="1346"/>
      <w:bookmarkEnd w:id="1347"/>
      <w:bookmarkEnd w:id="1348"/>
      <w:bookmarkEnd w:id="1349"/>
      <w:bookmarkEnd w:id="1350"/>
      <w:bookmarkEnd w:id="1351"/>
    </w:p>
    <w:p w14:paraId="6C7871CA">
      <w:pPr>
        <w:spacing w:line="360" w:lineRule="auto"/>
        <w:jc w:val="left"/>
        <w:rPr>
          <w:rFonts w:hint="eastAsia" w:ascii="宋体" w:hAnsi="宋体" w:eastAsia="宋体" w:cs="宋体"/>
          <w:color w:val="auto"/>
          <w:sz w:val="18"/>
          <w:szCs w:val="18"/>
          <w:highlight w:val="none"/>
        </w:rPr>
      </w:pPr>
    </w:p>
    <w:p w14:paraId="5276798A">
      <w:pPr>
        <w:spacing w:line="360" w:lineRule="auto"/>
        <w:jc w:val="left"/>
        <w:rPr>
          <w:rFonts w:hint="eastAsia" w:ascii="宋体" w:hAnsi="宋体" w:eastAsia="宋体" w:cs="宋体"/>
          <w:color w:val="auto"/>
          <w:sz w:val="18"/>
          <w:szCs w:val="18"/>
          <w:highlight w:val="none"/>
        </w:rPr>
      </w:pPr>
    </w:p>
    <w:p w14:paraId="528E1186">
      <w:pPr>
        <w:spacing w:line="360" w:lineRule="auto"/>
        <w:jc w:val="left"/>
        <w:rPr>
          <w:rFonts w:hint="eastAsia" w:ascii="宋体" w:hAnsi="宋体" w:eastAsia="宋体" w:cs="宋体"/>
          <w:color w:val="auto"/>
          <w:sz w:val="18"/>
          <w:szCs w:val="18"/>
          <w:highlight w:val="none"/>
        </w:rPr>
      </w:pPr>
    </w:p>
    <w:p w14:paraId="10A8C1D7">
      <w:pPr>
        <w:spacing w:line="360" w:lineRule="auto"/>
        <w:jc w:val="left"/>
        <w:rPr>
          <w:rFonts w:hint="eastAsia" w:ascii="宋体" w:hAnsi="宋体" w:eastAsia="宋体" w:cs="宋体"/>
          <w:color w:val="auto"/>
          <w:sz w:val="18"/>
          <w:szCs w:val="18"/>
          <w:highlight w:val="none"/>
        </w:rPr>
      </w:pPr>
    </w:p>
    <w:p w14:paraId="7055CA38">
      <w:pPr>
        <w:spacing w:line="360" w:lineRule="auto"/>
        <w:jc w:val="left"/>
        <w:rPr>
          <w:rFonts w:hint="eastAsia" w:ascii="宋体" w:hAnsi="宋体" w:eastAsia="宋体" w:cs="宋体"/>
          <w:color w:val="auto"/>
          <w:sz w:val="18"/>
          <w:szCs w:val="18"/>
          <w:highlight w:val="none"/>
        </w:rPr>
      </w:pPr>
    </w:p>
    <w:p w14:paraId="60F811AB">
      <w:pPr>
        <w:spacing w:line="360" w:lineRule="auto"/>
        <w:jc w:val="left"/>
        <w:rPr>
          <w:rFonts w:hint="eastAsia" w:ascii="宋体" w:hAnsi="宋体" w:eastAsia="宋体" w:cs="宋体"/>
          <w:color w:val="auto"/>
          <w:sz w:val="18"/>
          <w:szCs w:val="18"/>
          <w:highlight w:val="none"/>
        </w:rPr>
      </w:pPr>
    </w:p>
    <w:p w14:paraId="0BB18941">
      <w:pPr>
        <w:pStyle w:val="8"/>
        <w:spacing w:before="0" w:after="0"/>
        <w:jc w:val="center"/>
        <w:outlineLvl w:val="1"/>
        <w:rPr>
          <w:rFonts w:hint="eastAsia" w:ascii="宋体" w:hAnsi="宋体" w:eastAsia="宋体" w:cs="宋体"/>
          <w:b w:val="0"/>
          <w:bCs w:val="0"/>
          <w:color w:val="auto"/>
          <w:highlight w:val="none"/>
        </w:rPr>
      </w:pPr>
      <w:bookmarkStart w:id="1352" w:name="_Toc80006259"/>
      <w:bookmarkStart w:id="1353" w:name="_Toc7819"/>
      <w:bookmarkStart w:id="1354" w:name="_Toc20645"/>
      <w:bookmarkStart w:id="1355" w:name="_Toc80006149"/>
      <w:bookmarkStart w:id="1356" w:name="_Toc28846"/>
      <w:bookmarkStart w:id="1357" w:name="_Toc9243"/>
      <w:bookmarkStart w:id="1358" w:name="_Toc300678564"/>
      <w:bookmarkStart w:id="1359" w:name="_Toc16482"/>
      <w:bookmarkStart w:id="1360" w:name="_Toc24203"/>
      <w:bookmarkStart w:id="1361" w:name="_Toc7886"/>
      <w:r>
        <w:rPr>
          <w:rFonts w:hint="eastAsia" w:ascii="宋体" w:hAnsi="宋体" w:eastAsia="宋体" w:cs="宋体"/>
          <w:b w:val="0"/>
          <w:bCs w:val="0"/>
          <w:color w:val="auto"/>
          <w:highlight w:val="none"/>
        </w:rPr>
        <w:t>第八章  投标文件格式</w:t>
      </w:r>
      <w:bookmarkEnd w:id="1352"/>
      <w:bookmarkEnd w:id="1353"/>
      <w:bookmarkEnd w:id="1354"/>
      <w:bookmarkEnd w:id="1355"/>
      <w:bookmarkEnd w:id="1356"/>
      <w:bookmarkEnd w:id="1357"/>
      <w:bookmarkEnd w:id="1358"/>
      <w:bookmarkEnd w:id="1359"/>
      <w:bookmarkEnd w:id="1360"/>
      <w:bookmarkEnd w:id="1361"/>
    </w:p>
    <w:p w14:paraId="04B6DB9B">
      <w:pPr>
        <w:rPr>
          <w:rFonts w:hint="eastAsia" w:ascii="宋体" w:hAnsi="宋体" w:eastAsia="宋体" w:cs="宋体"/>
          <w:color w:val="auto"/>
          <w:highlight w:val="none"/>
        </w:rPr>
      </w:pPr>
    </w:p>
    <w:p w14:paraId="441A1443">
      <w:pPr>
        <w:rPr>
          <w:rFonts w:hint="eastAsia" w:ascii="宋体" w:hAnsi="宋体" w:eastAsia="宋体" w:cs="宋体"/>
          <w:color w:val="auto"/>
          <w:highlight w:val="none"/>
        </w:rPr>
      </w:pPr>
    </w:p>
    <w:p w14:paraId="476920D1">
      <w:pPr>
        <w:jc w:val="left"/>
        <w:rPr>
          <w:rFonts w:hint="eastAsia" w:ascii="宋体" w:hAnsi="宋体" w:eastAsia="宋体" w:cs="宋体"/>
          <w:color w:val="auto"/>
          <w:sz w:val="18"/>
          <w:szCs w:val="18"/>
          <w:highlight w:val="none"/>
        </w:rPr>
      </w:pPr>
    </w:p>
    <w:p w14:paraId="654A2B7A">
      <w:pPr>
        <w:jc w:val="left"/>
        <w:rPr>
          <w:rFonts w:hint="eastAsia" w:ascii="宋体" w:hAnsi="宋体" w:eastAsia="宋体" w:cs="宋体"/>
          <w:color w:val="auto"/>
          <w:sz w:val="18"/>
          <w:szCs w:val="18"/>
          <w:highlight w:val="none"/>
        </w:rPr>
      </w:pPr>
    </w:p>
    <w:p w14:paraId="38DBB73C">
      <w:pPr>
        <w:jc w:val="left"/>
        <w:rPr>
          <w:rFonts w:hint="eastAsia" w:ascii="宋体" w:hAnsi="宋体" w:eastAsia="宋体" w:cs="宋体"/>
          <w:color w:val="auto"/>
          <w:sz w:val="18"/>
          <w:szCs w:val="18"/>
          <w:highlight w:val="none"/>
        </w:rPr>
      </w:pPr>
    </w:p>
    <w:p w14:paraId="74DBAF26">
      <w:pPr>
        <w:jc w:val="left"/>
        <w:rPr>
          <w:rFonts w:hint="eastAsia" w:ascii="宋体" w:hAnsi="宋体" w:eastAsia="宋体" w:cs="宋体"/>
          <w:color w:val="auto"/>
          <w:sz w:val="18"/>
          <w:szCs w:val="18"/>
          <w:highlight w:val="none"/>
        </w:rPr>
      </w:pPr>
    </w:p>
    <w:p w14:paraId="7EF3815D">
      <w:pPr>
        <w:jc w:val="left"/>
        <w:rPr>
          <w:rFonts w:hint="eastAsia" w:ascii="宋体" w:hAnsi="宋体" w:eastAsia="宋体" w:cs="宋体"/>
          <w:color w:val="auto"/>
          <w:sz w:val="18"/>
          <w:szCs w:val="18"/>
          <w:highlight w:val="none"/>
        </w:rPr>
      </w:pPr>
    </w:p>
    <w:p w14:paraId="118BDE98">
      <w:pPr>
        <w:jc w:val="left"/>
        <w:rPr>
          <w:rFonts w:hint="eastAsia" w:ascii="宋体" w:hAnsi="宋体" w:eastAsia="宋体" w:cs="宋体"/>
          <w:color w:val="auto"/>
          <w:sz w:val="18"/>
          <w:szCs w:val="18"/>
          <w:highlight w:val="none"/>
        </w:rPr>
      </w:pPr>
    </w:p>
    <w:p w14:paraId="430A580E">
      <w:pPr>
        <w:jc w:val="left"/>
        <w:rPr>
          <w:rFonts w:hint="eastAsia" w:ascii="宋体" w:hAnsi="宋体" w:eastAsia="宋体" w:cs="宋体"/>
          <w:color w:val="auto"/>
          <w:sz w:val="18"/>
          <w:szCs w:val="18"/>
          <w:highlight w:val="none"/>
        </w:rPr>
      </w:pPr>
    </w:p>
    <w:p w14:paraId="2C29A5B6">
      <w:pPr>
        <w:jc w:val="left"/>
        <w:rPr>
          <w:rFonts w:hint="eastAsia" w:ascii="宋体" w:hAnsi="宋体" w:eastAsia="宋体" w:cs="宋体"/>
          <w:color w:val="auto"/>
          <w:sz w:val="18"/>
          <w:szCs w:val="18"/>
          <w:highlight w:val="none"/>
        </w:rPr>
      </w:pPr>
    </w:p>
    <w:p w14:paraId="43BEFA59">
      <w:pPr>
        <w:jc w:val="left"/>
        <w:rPr>
          <w:rFonts w:hint="eastAsia" w:ascii="宋体" w:hAnsi="宋体" w:eastAsia="宋体" w:cs="宋体"/>
          <w:color w:val="auto"/>
          <w:sz w:val="18"/>
          <w:szCs w:val="18"/>
          <w:highlight w:val="none"/>
        </w:rPr>
      </w:pPr>
    </w:p>
    <w:p w14:paraId="5FAEFF8E">
      <w:pPr>
        <w:jc w:val="left"/>
        <w:rPr>
          <w:rFonts w:hint="eastAsia" w:ascii="宋体" w:hAnsi="宋体" w:eastAsia="宋体" w:cs="宋体"/>
          <w:color w:val="auto"/>
          <w:sz w:val="18"/>
          <w:szCs w:val="18"/>
          <w:highlight w:val="none"/>
        </w:rPr>
      </w:pPr>
    </w:p>
    <w:p w14:paraId="214E91DD">
      <w:pPr>
        <w:jc w:val="left"/>
        <w:rPr>
          <w:rFonts w:hint="eastAsia" w:ascii="宋体" w:hAnsi="宋体" w:eastAsia="宋体" w:cs="宋体"/>
          <w:bCs/>
          <w:color w:val="auto"/>
          <w:szCs w:val="21"/>
          <w:highlight w:val="none"/>
        </w:rPr>
      </w:pPr>
    </w:p>
    <w:p w14:paraId="0CF5DA03">
      <w:pPr>
        <w:rPr>
          <w:rFonts w:hint="eastAsia" w:ascii="宋体" w:hAnsi="宋体" w:eastAsia="宋体" w:cs="宋体"/>
          <w:color w:val="auto"/>
          <w:highlight w:val="none"/>
        </w:rPr>
      </w:pPr>
      <w:bookmarkStart w:id="1362" w:name="_Toc300678565"/>
    </w:p>
    <w:p w14:paraId="1857E073">
      <w:pPr>
        <w:pStyle w:val="7"/>
        <w:jc w:val="center"/>
        <w:outlineLvl w:val="1"/>
        <w:rPr>
          <w:rFonts w:hint="eastAsia" w:ascii="宋体" w:hAnsi="宋体" w:eastAsia="宋体" w:cs="宋体"/>
          <w:b w:val="0"/>
          <w:color w:val="auto"/>
          <w:highlight w:val="none"/>
        </w:rPr>
      </w:pPr>
      <w:bookmarkStart w:id="1363" w:name="_Toc30310"/>
      <w:bookmarkStart w:id="1364" w:name="_Toc11620"/>
      <w:bookmarkStart w:id="1365" w:name="_Toc27701"/>
      <w:bookmarkStart w:id="1366" w:name="_Toc80006150"/>
      <w:bookmarkStart w:id="1367" w:name="_Toc80006260"/>
      <w:bookmarkStart w:id="1368" w:name="_Toc14238"/>
      <w:bookmarkStart w:id="1369" w:name="_Toc14931"/>
      <w:r>
        <w:rPr>
          <w:rFonts w:hint="eastAsia" w:ascii="宋体" w:hAnsi="宋体" w:eastAsia="宋体" w:cs="宋体"/>
          <w:b w:val="0"/>
          <w:color w:val="auto"/>
          <w:highlight w:val="none"/>
        </w:rPr>
        <w:t>第一节 投标函</w:t>
      </w:r>
      <w:r>
        <w:rPr>
          <w:rFonts w:hint="eastAsia" w:ascii="宋体" w:hAnsi="宋体" w:eastAsia="宋体" w:cs="宋体"/>
          <w:b w:val="0"/>
          <w:color w:val="auto"/>
          <w:highlight w:val="none"/>
          <w:lang w:val="en-US" w:eastAsia="zh-CN"/>
        </w:rPr>
        <w:t>及附录</w:t>
      </w:r>
      <w:r>
        <w:rPr>
          <w:rFonts w:hint="eastAsia" w:ascii="宋体" w:hAnsi="宋体" w:eastAsia="宋体" w:cs="宋体"/>
          <w:b w:val="0"/>
          <w:color w:val="auto"/>
          <w:highlight w:val="none"/>
        </w:rPr>
        <w:t>格式</w:t>
      </w:r>
      <w:bookmarkEnd w:id="1362"/>
      <w:bookmarkEnd w:id="1363"/>
      <w:bookmarkEnd w:id="1364"/>
      <w:bookmarkEnd w:id="1365"/>
      <w:bookmarkEnd w:id="1366"/>
      <w:bookmarkEnd w:id="1367"/>
      <w:bookmarkEnd w:id="1368"/>
      <w:bookmarkEnd w:id="1369"/>
    </w:p>
    <w:p w14:paraId="2FB2E990">
      <w:pPr>
        <w:spacing w:line="360" w:lineRule="auto"/>
        <w:jc w:val="left"/>
        <w:rPr>
          <w:rFonts w:hint="eastAsia" w:ascii="宋体" w:hAnsi="宋体" w:eastAsia="宋体" w:cs="宋体"/>
          <w:color w:val="auto"/>
          <w:sz w:val="18"/>
          <w:szCs w:val="18"/>
          <w:highlight w:val="none"/>
        </w:rPr>
      </w:pPr>
    </w:p>
    <w:p w14:paraId="1F40068E">
      <w:pPr>
        <w:widowControl/>
        <w:rPr>
          <w:rFonts w:hint="eastAsia" w:ascii="宋体" w:hAnsi="宋体" w:eastAsia="宋体" w:cs="宋体"/>
          <w:color w:val="auto"/>
          <w:kern w:val="0"/>
          <w:sz w:val="28"/>
          <w:szCs w:val="21"/>
          <w:highlight w:val="none"/>
        </w:rPr>
      </w:pPr>
    </w:p>
    <w:p w14:paraId="3201794F">
      <w:pPr>
        <w:widowControl/>
        <w:rPr>
          <w:rFonts w:hint="eastAsia" w:ascii="宋体" w:hAnsi="宋体" w:eastAsia="宋体" w:cs="宋体"/>
          <w:color w:val="auto"/>
          <w:kern w:val="0"/>
          <w:sz w:val="28"/>
          <w:szCs w:val="21"/>
          <w:highlight w:val="none"/>
        </w:rPr>
      </w:pPr>
      <w:r>
        <w:rPr>
          <w:rFonts w:hint="eastAsia" w:ascii="宋体" w:hAnsi="宋体" w:eastAsia="宋体" w:cs="宋体"/>
          <w:color w:val="auto"/>
          <w:kern w:val="0"/>
          <w:sz w:val="28"/>
          <w:szCs w:val="21"/>
          <w:highlight w:val="none"/>
        </w:rPr>
        <w:br w:type="page"/>
      </w:r>
    </w:p>
    <w:p w14:paraId="1B94B0B8">
      <w:pPr>
        <w:widowControl/>
        <w:rPr>
          <w:rFonts w:hint="eastAsia" w:ascii="宋体" w:hAnsi="宋体" w:eastAsia="宋体" w:cs="宋体"/>
          <w:color w:val="auto"/>
          <w:kern w:val="0"/>
          <w:sz w:val="28"/>
          <w:szCs w:val="21"/>
          <w:highlight w:val="none"/>
        </w:rPr>
      </w:pPr>
    </w:p>
    <w:p w14:paraId="631BE5F7">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u w:val="single"/>
        </w:rPr>
        <w:t xml:space="preserve">            </w:t>
      </w:r>
      <w:bookmarkStart w:id="1370" w:name="_Toc19605"/>
      <w:r>
        <w:rPr>
          <w:rFonts w:hint="eastAsia" w:ascii="宋体" w:hAnsi="宋体" w:eastAsia="宋体" w:cs="宋体"/>
          <w:color w:val="auto"/>
          <w:kern w:val="0"/>
          <w:sz w:val="28"/>
          <w:szCs w:val="28"/>
          <w:highlight w:val="none"/>
        </w:rPr>
        <w:t>（项目名称）施工招标</w:t>
      </w:r>
      <w:bookmarkEnd w:id="1370"/>
    </w:p>
    <w:p w14:paraId="58F9A8B4">
      <w:pPr>
        <w:widowControl/>
        <w:spacing w:before="312"/>
        <w:jc w:val="center"/>
        <w:rPr>
          <w:rFonts w:hint="eastAsia" w:ascii="宋体" w:hAnsi="宋体" w:eastAsia="宋体" w:cs="宋体"/>
          <w:color w:val="auto"/>
          <w:kern w:val="0"/>
          <w:sz w:val="44"/>
          <w:szCs w:val="44"/>
          <w:highlight w:val="none"/>
        </w:rPr>
      </w:pPr>
      <w:r>
        <w:rPr>
          <w:rFonts w:hint="eastAsia" w:ascii="宋体" w:hAnsi="宋体" w:eastAsia="宋体" w:cs="宋体"/>
          <w:color w:val="auto"/>
          <w:kern w:val="0"/>
          <w:sz w:val="44"/>
          <w:szCs w:val="44"/>
          <w:highlight w:val="none"/>
        </w:rPr>
        <w:t>投  标  文  件</w:t>
      </w:r>
    </w:p>
    <w:p w14:paraId="786209FB">
      <w:pPr>
        <w:widowControl/>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（投标函</w:t>
      </w:r>
      <w:r>
        <w:rPr>
          <w:rFonts w:hint="eastAsia" w:ascii="宋体" w:hAnsi="宋体" w:eastAsia="宋体" w:cs="宋体"/>
          <w:color w:val="auto"/>
          <w:kern w:val="0"/>
          <w:sz w:val="32"/>
          <w:szCs w:val="32"/>
          <w:highlight w:val="none"/>
          <w:lang w:val="en-US" w:eastAsia="zh-CN"/>
        </w:rPr>
        <w:t>及附录</w:t>
      </w:r>
      <w:r>
        <w:rPr>
          <w:rFonts w:hint="eastAsia" w:ascii="宋体" w:hAnsi="宋体" w:eastAsia="宋体" w:cs="宋体"/>
          <w:color w:val="auto"/>
          <w:kern w:val="0"/>
          <w:sz w:val="32"/>
          <w:szCs w:val="32"/>
          <w:highlight w:val="none"/>
        </w:rPr>
        <w:t>）</w:t>
      </w:r>
    </w:p>
    <w:p w14:paraId="4EB01865">
      <w:pPr>
        <w:spacing w:line="360" w:lineRule="auto"/>
        <w:jc w:val="left"/>
        <w:rPr>
          <w:rFonts w:hint="eastAsia" w:ascii="宋体" w:hAnsi="宋体" w:eastAsia="宋体" w:cs="宋体"/>
          <w:color w:val="auto"/>
          <w:sz w:val="18"/>
          <w:szCs w:val="18"/>
          <w:highlight w:val="none"/>
        </w:rPr>
      </w:pPr>
    </w:p>
    <w:p w14:paraId="105375A6">
      <w:pPr>
        <w:spacing w:line="360" w:lineRule="auto"/>
        <w:jc w:val="left"/>
        <w:rPr>
          <w:rFonts w:hint="eastAsia" w:ascii="宋体" w:hAnsi="宋体" w:eastAsia="宋体" w:cs="宋体"/>
          <w:color w:val="auto"/>
          <w:sz w:val="18"/>
          <w:szCs w:val="18"/>
          <w:highlight w:val="none"/>
        </w:rPr>
      </w:pPr>
    </w:p>
    <w:p w14:paraId="1F14FC77">
      <w:pPr>
        <w:spacing w:line="360" w:lineRule="auto"/>
        <w:jc w:val="left"/>
        <w:rPr>
          <w:rFonts w:hint="eastAsia" w:ascii="宋体" w:hAnsi="宋体" w:eastAsia="宋体" w:cs="宋体"/>
          <w:color w:val="auto"/>
          <w:sz w:val="18"/>
          <w:szCs w:val="18"/>
          <w:highlight w:val="none"/>
        </w:rPr>
      </w:pPr>
    </w:p>
    <w:p w14:paraId="7CF7FDAF">
      <w:pPr>
        <w:spacing w:line="360" w:lineRule="auto"/>
        <w:jc w:val="left"/>
        <w:rPr>
          <w:rFonts w:hint="eastAsia" w:ascii="宋体" w:hAnsi="宋体" w:eastAsia="宋体" w:cs="宋体"/>
          <w:color w:val="auto"/>
          <w:sz w:val="18"/>
          <w:szCs w:val="18"/>
          <w:highlight w:val="none"/>
        </w:rPr>
      </w:pPr>
    </w:p>
    <w:p w14:paraId="02FA89E8">
      <w:pPr>
        <w:spacing w:line="360" w:lineRule="auto"/>
        <w:jc w:val="left"/>
        <w:rPr>
          <w:rFonts w:hint="eastAsia" w:ascii="宋体" w:hAnsi="宋体" w:eastAsia="宋体" w:cs="宋体"/>
          <w:color w:val="auto"/>
          <w:sz w:val="18"/>
          <w:szCs w:val="18"/>
          <w:highlight w:val="none"/>
        </w:rPr>
      </w:pPr>
    </w:p>
    <w:p w14:paraId="4EFAF0D7">
      <w:pPr>
        <w:spacing w:line="360" w:lineRule="auto"/>
        <w:jc w:val="left"/>
        <w:rPr>
          <w:rFonts w:hint="eastAsia" w:ascii="宋体" w:hAnsi="宋体" w:eastAsia="宋体" w:cs="宋体"/>
          <w:color w:val="auto"/>
          <w:sz w:val="18"/>
          <w:szCs w:val="18"/>
          <w:highlight w:val="none"/>
        </w:rPr>
      </w:pPr>
    </w:p>
    <w:p w14:paraId="1A11B636">
      <w:pPr>
        <w:spacing w:line="360" w:lineRule="auto"/>
        <w:jc w:val="left"/>
        <w:rPr>
          <w:rFonts w:hint="eastAsia" w:ascii="宋体" w:hAnsi="宋体" w:eastAsia="宋体" w:cs="宋体"/>
          <w:color w:val="auto"/>
          <w:sz w:val="18"/>
          <w:szCs w:val="18"/>
          <w:highlight w:val="none"/>
        </w:rPr>
      </w:pPr>
    </w:p>
    <w:p w14:paraId="3F4B69AD">
      <w:pPr>
        <w:spacing w:line="360" w:lineRule="auto"/>
        <w:jc w:val="left"/>
        <w:rPr>
          <w:rFonts w:hint="eastAsia" w:ascii="宋体" w:hAnsi="宋体" w:eastAsia="宋体" w:cs="宋体"/>
          <w:color w:val="auto"/>
          <w:sz w:val="18"/>
          <w:szCs w:val="18"/>
          <w:highlight w:val="none"/>
        </w:rPr>
      </w:pPr>
    </w:p>
    <w:p w14:paraId="7573C515">
      <w:pPr>
        <w:spacing w:line="360" w:lineRule="auto"/>
        <w:jc w:val="left"/>
        <w:rPr>
          <w:rFonts w:hint="eastAsia" w:ascii="宋体" w:hAnsi="宋体" w:eastAsia="宋体" w:cs="宋体"/>
          <w:color w:val="auto"/>
          <w:sz w:val="18"/>
          <w:szCs w:val="18"/>
          <w:highlight w:val="none"/>
        </w:rPr>
      </w:pPr>
    </w:p>
    <w:p w14:paraId="0ECECA63">
      <w:pPr>
        <w:spacing w:line="360" w:lineRule="auto"/>
        <w:jc w:val="left"/>
        <w:rPr>
          <w:rFonts w:hint="eastAsia" w:ascii="宋体" w:hAnsi="宋体" w:eastAsia="宋体" w:cs="宋体"/>
          <w:color w:val="auto"/>
          <w:sz w:val="18"/>
          <w:szCs w:val="18"/>
          <w:highlight w:val="none"/>
        </w:rPr>
      </w:pPr>
    </w:p>
    <w:p w14:paraId="33C70047">
      <w:pPr>
        <w:spacing w:line="360" w:lineRule="auto"/>
        <w:jc w:val="left"/>
        <w:rPr>
          <w:rFonts w:hint="eastAsia" w:ascii="宋体" w:hAnsi="宋体" w:eastAsia="宋体" w:cs="宋体"/>
          <w:color w:val="auto"/>
          <w:sz w:val="18"/>
          <w:szCs w:val="18"/>
          <w:highlight w:val="none"/>
        </w:rPr>
      </w:pPr>
    </w:p>
    <w:p w14:paraId="153D4BD5">
      <w:pPr>
        <w:spacing w:line="360" w:lineRule="auto"/>
        <w:jc w:val="left"/>
        <w:rPr>
          <w:rFonts w:hint="eastAsia" w:ascii="宋体" w:hAnsi="宋体" w:eastAsia="宋体" w:cs="宋体"/>
          <w:color w:val="auto"/>
          <w:sz w:val="18"/>
          <w:szCs w:val="18"/>
          <w:highlight w:val="none"/>
        </w:rPr>
      </w:pPr>
    </w:p>
    <w:p w14:paraId="321FD3E1">
      <w:pPr>
        <w:spacing w:line="360" w:lineRule="auto"/>
        <w:jc w:val="left"/>
        <w:rPr>
          <w:rFonts w:hint="eastAsia" w:ascii="宋体" w:hAnsi="宋体" w:eastAsia="宋体" w:cs="宋体"/>
          <w:color w:val="auto"/>
          <w:sz w:val="18"/>
          <w:szCs w:val="18"/>
          <w:highlight w:val="none"/>
        </w:rPr>
      </w:pPr>
    </w:p>
    <w:p w14:paraId="3AD16762">
      <w:pPr>
        <w:spacing w:line="360" w:lineRule="auto"/>
        <w:jc w:val="left"/>
        <w:rPr>
          <w:rFonts w:hint="eastAsia" w:ascii="宋体" w:hAnsi="宋体" w:eastAsia="宋体" w:cs="宋体"/>
          <w:color w:val="auto"/>
          <w:sz w:val="18"/>
          <w:szCs w:val="18"/>
          <w:highlight w:val="none"/>
        </w:rPr>
      </w:pPr>
    </w:p>
    <w:p w14:paraId="78A07F8D">
      <w:pPr>
        <w:spacing w:line="360" w:lineRule="auto"/>
        <w:jc w:val="left"/>
        <w:rPr>
          <w:rFonts w:hint="eastAsia" w:ascii="宋体" w:hAnsi="宋体" w:eastAsia="宋体" w:cs="宋体"/>
          <w:color w:val="auto"/>
          <w:sz w:val="18"/>
          <w:szCs w:val="18"/>
          <w:highlight w:val="none"/>
        </w:rPr>
      </w:pPr>
    </w:p>
    <w:p w14:paraId="170D9227">
      <w:pPr>
        <w:spacing w:line="360" w:lineRule="auto"/>
        <w:jc w:val="left"/>
        <w:rPr>
          <w:rFonts w:hint="eastAsia" w:ascii="宋体" w:hAnsi="宋体" w:eastAsia="宋体" w:cs="宋体"/>
          <w:color w:val="auto"/>
          <w:sz w:val="18"/>
          <w:szCs w:val="18"/>
          <w:highlight w:val="none"/>
        </w:rPr>
      </w:pPr>
    </w:p>
    <w:p w14:paraId="318E6F42">
      <w:pPr>
        <w:spacing w:line="360" w:lineRule="auto"/>
        <w:jc w:val="left"/>
        <w:rPr>
          <w:rFonts w:hint="eastAsia" w:ascii="宋体" w:hAnsi="宋体" w:eastAsia="宋体" w:cs="宋体"/>
          <w:color w:val="auto"/>
          <w:sz w:val="18"/>
          <w:szCs w:val="18"/>
          <w:highlight w:val="none"/>
        </w:rPr>
      </w:pPr>
    </w:p>
    <w:p w14:paraId="7D0E74AB">
      <w:pPr>
        <w:spacing w:line="360" w:lineRule="auto"/>
        <w:jc w:val="left"/>
        <w:rPr>
          <w:rFonts w:hint="eastAsia" w:ascii="宋体" w:hAnsi="宋体" w:eastAsia="宋体" w:cs="宋体"/>
          <w:color w:val="auto"/>
          <w:sz w:val="18"/>
          <w:szCs w:val="18"/>
          <w:highlight w:val="none"/>
        </w:rPr>
      </w:pPr>
    </w:p>
    <w:p w14:paraId="3F2BBC56">
      <w:pPr>
        <w:spacing w:line="360" w:lineRule="auto"/>
        <w:jc w:val="left"/>
        <w:rPr>
          <w:rFonts w:hint="eastAsia" w:ascii="宋体" w:hAnsi="宋体" w:eastAsia="宋体" w:cs="宋体"/>
          <w:color w:val="auto"/>
          <w:sz w:val="18"/>
          <w:szCs w:val="18"/>
          <w:highlight w:val="none"/>
        </w:rPr>
      </w:pPr>
    </w:p>
    <w:p w14:paraId="59DF04C7">
      <w:pPr>
        <w:spacing w:line="360" w:lineRule="auto"/>
        <w:jc w:val="left"/>
        <w:rPr>
          <w:rFonts w:hint="eastAsia" w:ascii="宋体" w:hAnsi="宋体" w:eastAsia="宋体" w:cs="宋体"/>
          <w:color w:val="auto"/>
          <w:sz w:val="18"/>
          <w:szCs w:val="18"/>
          <w:highlight w:val="none"/>
        </w:rPr>
      </w:pPr>
    </w:p>
    <w:p w14:paraId="0E392329">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01323BF8">
      <w:pPr>
        <w:widowControl/>
        <w:rPr>
          <w:rFonts w:hint="eastAsia" w:ascii="宋体" w:hAnsi="宋体" w:eastAsia="宋体" w:cs="宋体"/>
          <w:color w:val="auto"/>
          <w:szCs w:val="21"/>
          <w:highlight w:val="none"/>
        </w:rPr>
      </w:pPr>
      <w:r>
        <w:rPr>
          <w:rFonts w:hint="eastAsia" w:ascii="宋体" w:hAnsi="宋体" w:eastAsia="宋体" w:cs="宋体"/>
          <w:color w:val="auto"/>
          <w:kern w:val="0"/>
          <w:highlight w:val="none"/>
        </w:rPr>
        <w:br w:type="page"/>
      </w:r>
      <w:bookmarkStart w:id="1371" w:name="_Toc300678566"/>
    </w:p>
    <w:p w14:paraId="5C7D275A">
      <w:pPr>
        <w:pStyle w:val="8"/>
        <w:spacing w:before="0" w:after="0" w:line="240" w:lineRule="auto"/>
        <w:jc w:val="center"/>
        <w:rPr>
          <w:rFonts w:hint="eastAsia" w:ascii="宋体" w:hAnsi="宋体" w:eastAsia="宋体" w:cs="宋体"/>
          <w:b w:val="0"/>
          <w:bCs w:val="0"/>
          <w:color w:val="auto"/>
          <w:sz w:val="36"/>
          <w:szCs w:val="36"/>
          <w:highlight w:val="none"/>
        </w:rPr>
      </w:pPr>
      <w:bookmarkStart w:id="1372" w:name="_Toc80006261"/>
      <w:bookmarkStart w:id="1373" w:name="_Toc2968"/>
      <w:bookmarkStart w:id="1374" w:name="_Toc9062"/>
      <w:bookmarkStart w:id="1375" w:name="_Toc19228"/>
      <w:bookmarkStart w:id="1376" w:name="_Toc9178578"/>
      <w:bookmarkStart w:id="1377" w:name="_Toc6029"/>
      <w:bookmarkStart w:id="1378" w:name="_Toc80006151"/>
      <w:r>
        <w:rPr>
          <w:rFonts w:hint="eastAsia" w:ascii="宋体" w:hAnsi="宋体" w:eastAsia="宋体" w:cs="宋体"/>
          <w:b w:val="0"/>
          <w:bCs w:val="0"/>
          <w:color w:val="auto"/>
          <w:sz w:val="36"/>
          <w:szCs w:val="36"/>
          <w:highlight w:val="none"/>
        </w:rPr>
        <w:t>目    录</w:t>
      </w:r>
      <w:bookmarkEnd w:id="1371"/>
      <w:bookmarkEnd w:id="1372"/>
      <w:bookmarkEnd w:id="1373"/>
      <w:bookmarkEnd w:id="1374"/>
      <w:bookmarkEnd w:id="1375"/>
      <w:bookmarkEnd w:id="1376"/>
      <w:bookmarkEnd w:id="1377"/>
      <w:bookmarkEnd w:id="1378"/>
    </w:p>
    <w:p w14:paraId="06DCE9F4">
      <w:pPr>
        <w:widowControl/>
        <w:rPr>
          <w:rFonts w:hint="eastAsia" w:ascii="宋体" w:hAnsi="宋体" w:eastAsia="宋体" w:cs="宋体"/>
          <w:color w:val="auto"/>
          <w:szCs w:val="21"/>
          <w:highlight w:val="none"/>
        </w:rPr>
      </w:pPr>
    </w:p>
    <w:p w14:paraId="2C82EC1A">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"_Toc300678567"</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1.投标函及投标函附录</w:t>
      </w:r>
      <w:r>
        <w:rPr>
          <w:rFonts w:hint="eastAsia" w:ascii="宋体" w:hAnsi="宋体" w:eastAsia="宋体" w:cs="宋体"/>
          <w:color w:val="auto"/>
          <w:highlight w:val="none"/>
        </w:rPr>
        <w:fldChar w:fldCharType="end"/>
      </w:r>
    </w:p>
    <w:p w14:paraId="35A7B442">
      <w:pPr>
        <w:spacing w:line="276" w:lineRule="auto"/>
        <w:ind w:firstLine="840" w:firstLineChars="4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"_Toc300678568"</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（1）投标函</w:t>
      </w:r>
      <w:r>
        <w:rPr>
          <w:rFonts w:hint="eastAsia" w:ascii="宋体" w:hAnsi="宋体" w:eastAsia="宋体" w:cs="宋体"/>
          <w:color w:val="auto"/>
          <w:highlight w:val="none"/>
        </w:rPr>
        <w:fldChar w:fldCharType="end"/>
      </w:r>
    </w:p>
    <w:p w14:paraId="269436CA">
      <w:pPr>
        <w:spacing w:line="276" w:lineRule="auto"/>
        <w:ind w:firstLine="840" w:firstLineChars="4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"_Toc300678569"</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（2）投标函附录</w:t>
      </w:r>
      <w:r>
        <w:rPr>
          <w:rFonts w:hint="eastAsia" w:ascii="宋体" w:hAnsi="宋体" w:eastAsia="宋体" w:cs="宋体"/>
          <w:color w:val="auto"/>
          <w:highlight w:val="none"/>
        </w:rPr>
        <w:fldChar w:fldCharType="end"/>
      </w:r>
    </w:p>
    <w:p w14:paraId="6CE93250">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"_Toc300678570"</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2.法定代表人身份证明</w:t>
      </w:r>
      <w:r>
        <w:rPr>
          <w:rFonts w:hint="eastAsia" w:ascii="宋体" w:hAnsi="宋体" w:eastAsia="宋体" w:cs="宋体"/>
          <w:color w:val="auto"/>
          <w:highlight w:val="none"/>
        </w:rPr>
        <w:fldChar w:fldCharType="end"/>
      </w:r>
    </w:p>
    <w:p w14:paraId="68F29DCD">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"_Toc300678571"</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3.授权委托书</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（如有）</w:t>
      </w:r>
    </w:p>
    <w:p w14:paraId="78DB042E">
      <w:pPr>
        <w:widowControl/>
        <w:spacing w:line="24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"_Toc300678572"</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4.</w:t>
      </w:r>
      <w:r>
        <w:rPr>
          <w:rStyle w:val="53"/>
          <w:rFonts w:hint="eastAsia" w:ascii="宋体" w:hAnsi="宋体" w:eastAsia="宋体" w:cs="宋体"/>
          <w:color w:val="auto"/>
          <w:highlight w:val="none"/>
          <w:u w:val="none"/>
          <w:lang w:val="en-US" w:eastAsia="zh-CN"/>
        </w:rPr>
        <w:t>共同投标</w:t>
      </w:r>
      <w:r>
        <w:rPr>
          <w:rStyle w:val="53"/>
          <w:rFonts w:hint="eastAsia" w:ascii="宋体" w:hAnsi="宋体" w:eastAsia="宋体" w:cs="宋体"/>
          <w:color w:val="auto"/>
          <w:highlight w:val="none"/>
          <w:u w:val="none"/>
        </w:rPr>
        <w:t>协议</w:t>
      </w:r>
      <w:r>
        <w:rPr>
          <w:rFonts w:hint="eastAsia" w:ascii="宋体" w:hAnsi="宋体" w:eastAsia="宋体" w:cs="宋体"/>
          <w:color w:val="auto"/>
          <w:highlight w:val="none"/>
        </w:rPr>
        <w:fldChar w:fldCharType="end"/>
      </w:r>
      <w:r>
        <w:rPr>
          <w:rFonts w:hint="eastAsia" w:ascii="宋体" w:hAnsi="宋体" w:eastAsia="宋体" w:cs="宋体"/>
          <w:color w:val="auto"/>
          <w:kern w:val="0"/>
          <w:sz w:val="24"/>
          <w:szCs w:val="24"/>
          <w:highlight w:val="none"/>
          <w:lang w:val="en-US" w:eastAsia="zh-CN" w:bidi="ar"/>
        </w:rPr>
        <w:t>（联合体投标适用）</w:t>
      </w:r>
    </w:p>
    <w:p w14:paraId="070879AF">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"_Toc300678573"</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5.投标保证</w:t>
      </w:r>
      <w:r>
        <w:rPr>
          <w:rFonts w:hint="eastAsia" w:ascii="宋体" w:hAnsi="宋体" w:eastAsia="宋体" w:cs="宋体"/>
          <w:color w:val="auto"/>
          <w:highlight w:val="none"/>
        </w:rPr>
        <w:fldChar w:fldCharType="end"/>
      </w:r>
    </w:p>
    <w:p w14:paraId="6B422229">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"_Toc300678574"</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6.项目管理机构</w:t>
      </w:r>
      <w:r>
        <w:rPr>
          <w:rFonts w:hint="eastAsia" w:ascii="宋体" w:hAnsi="宋体" w:eastAsia="宋体" w:cs="宋体"/>
          <w:color w:val="auto"/>
          <w:highlight w:val="none"/>
        </w:rPr>
        <w:fldChar w:fldCharType="end"/>
      </w:r>
    </w:p>
    <w:p w14:paraId="071779D4">
      <w:pPr>
        <w:spacing w:line="276" w:lineRule="auto"/>
        <w:ind w:firstLine="840" w:firstLineChars="4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"_Toc300678575"</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（1）</w:t>
      </w:r>
      <w:bookmarkStart w:id="1379" w:name="_Hlt11160713"/>
      <w:bookmarkEnd w:id="1379"/>
      <w:bookmarkStart w:id="1380" w:name="_Hlt11160712"/>
      <w:bookmarkEnd w:id="1380"/>
      <w:r>
        <w:rPr>
          <w:rStyle w:val="53"/>
          <w:rFonts w:hint="eastAsia" w:ascii="宋体" w:hAnsi="宋体" w:eastAsia="宋体" w:cs="宋体"/>
          <w:color w:val="auto"/>
          <w:highlight w:val="none"/>
          <w:u w:val="none"/>
        </w:rPr>
        <w:t>项目管理机构组成表</w:t>
      </w:r>
      <w:r>
        <w:rPr>
          <w:rFonts w:hint="eastAsia" w:ascii="宋体" w:hAnsi="宋体" w:eastAsia="宋体" w:cs="宋体"/>
          <w:color w:val="auto"/>
          <w:highlight w:val="none"/>
        </w:rPr>
        <w:fldChar w:fldCharType="end"/>
      </w:r>
    </w:p>
    <w:p w14:paraId="4CD54368">
      <w:pPr>
        <w:spacing w:line="276" w:lineRule="auto"/>
        <w:ind w:firstLine="840" w:firstLineChars="400"/>
        <w:rPr>
          <w:rFonts w:hint="eastAsia" w:ascii="宋体" w:hAnsi="宋体" w:eastAsia="宋体" w:cs="宋体"/>
          <w:color w:val="auto"/>
          <w:highlight w:val="none"/>
          <w:lang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"_Toc300678576"</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（2）</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"_Toc300678577"</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拟任项目经理简历表</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r>
        <w:rPr>
          <w:rStyle w:val="53"/>
          <w:rFonts w:hint="eastAsia" w:ascii="宋体" w:hAnsi="宋体" w:eastAsia="宋体" w:cs="宋体"/>
          <w:color w:val="auto"/>
          <w:highlight w:val="none"/>
          <w:u w:val="none"/>
          <w:lang w:val="en-US" w:eastAsia="zh-CN"/>
        </w:rPr>
        <w:t xml:space="preserve"> </w:t>
      </w:r>
    </w:p>
    <w:p w14:paraId="4AB166C0">
      <w:pPr>
        <w:spacing w:line="276" w:lineRule="auto"/>
        <w:ind w:firstLine="840" w:firstLineChars="400"/>
        <w:rPr>
          <w:rFonts w:hint="eastAsia" w:ascii="宋体" w:hAnsi="宋体" w:eastAsia="宋体" w:cs="宋体"/>
          <w:color w:val="auto"/>
          <w:highlight w:val="none"/>
        </w:rPr>
      </w:pPr>
      <w:r>
        <w:rPr>
          <w:rFonts w:hint="eastAsia" w:ascii="宋体" w:hAnsi="宋体" w:eastAsia="宋体" w:cs="宋体"/>
          <w:color w:val="auto"/>
          <w:highlight w:val="none"/>
        </w:rPr>
        <w:t>（3）项目管理机构自评表</w:t>
      </w:r>
    </w:p>
    <w:p w14:paraId="75DFFA7C">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"_Toc300678579"</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7.拟分包计划表</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（如有）</w:t>
      </w:r>
    </w:p>
    <w:p w14:paraId="36B71D7D">
      <w:pPr>
        <w:spacing w:line="276" w:lineRule="auto"/>
        <w:ind w:firstLine="420" w:firstLineChars="200"/>
        <w:rPr>
          <w:rStyle w:val="53"/>
          <w:rFonts w:hint="eastAsia" w:ascii="宋体" w:hAnsi="宋体" w:eastAsia="宋体" w:cs="宋体"/>
          <w:color w:val="auto"/>
          <w:highlight w:val="none"/>
          <w:u w:val="none"/>
        </w:rPr>
      </w:pPr>
      <w:r>
        <w:rPr>
          <w:rFonts w:hint="eastAsia" w:ascii="宋体" w:hAnsi="宋体" w:eastAsia="宋体" w:cs="宋体"/>
          <w:color w:val="auto"/>
          <w:highlight w:val="none"/>
        </w:rPr>
        <w:fldChar w:fldCharType="begin"/>
      </w:r>
      <w:r>
        <w:rPr>
          <w:rStyle w:val="53"/>
          <w:rFonts w:hint="eastAsia" w:ascii="宋体" w:hAnsi="宋体" w:eastAsia="宋体" w:cs="宋体"/>
          <w:color w:val="auto"/>
          <w:highlight w:val="none"/>
          <w:u w:val="none"/>
        </w:rPr>
        <w:instrText xml:space="preserve">HYPERLINK \l "_Toc300678580"</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8.资格审查等资料</w:t>
      </w:r>
      <w:r>
        <w:rPr>
          <w:rFonts w:hint="eastAsia" w:ascii="宋体" w:hAnsi="宋体" w:eastAsia="宋体" w:cs="宋体"/>
          <w:color w:val="auto"/>
          <w:highlight w:val="none"/>
        </w:rPr>
        <w:fldChar w:fldCharType="end"/>
      </w:r>
    </w:p>
    <w:p w14:paraId="0BBB1F08">
      <w:pPr>
        <w:spacing w:line="276" w:lineRule="auto"/>
        <w:ind w:firstLine="1050" w:firstLineChars="500"/>
        <w:rPr>
          <w:rStyle w:val="53"/>
          <w:rFonts w:hint="eastAsia" w:ascii="宋体" w:hAnsi="宋体" w:eastAsia="宋体" w:cs="宋体"/>
          <w:color w:val="auto"/>
          <w:highlight w:val="none"/>
          <w:u w:val="none"/>
        </w:rPr>
      </w:pPr>
      <w:r>
        <w:rPr>
          <w:rFonts w:hint="eastAsia" w:ascii="宋体" w:hAnsi="宋体" w:eastAsia="宋体" w:cs="宋体"/>
          <w:color w:val="auto"/>
          <w:highlight w:val="none"/>
        </w:rPr>
        <w:fldChar w:fldCharType="begin"/>
      </w:r>
      <w:r>
        <w:rPr>
          <w:rStyle w:val="53"/>
          <w:rFonts w:hint="eastAsia" w:ascii="宋体" w:hAnsi="宋体" w:eastAsia="宋体" w:cs="宋体"/>
          <w:color w:val="auto"/>
          <w:highlight w:val="none"/>
          <w:u w:val="none"/>
        </w:rPr>
        <w:instrText xml:space="preserve">HYPERLINK \l "_Toc300678581"</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（1）投标人基本情况表</w:t>
      </w:r>
      <w:r>
        <w:rPr>
          <w:rFonts w:hint="eastAsia" w:ascii="宋体" w:hAnsi="宋体" w:eastAsia="宋体" w:cs="宋体"/>
          <w:color w:val="auto"/>
          <w:highlight w:val="none"/>
        </w:rPr>
        <w:fldChar w:fldCharType="end"/>
      </w:r>
    </w:p>
    <w:p w14:paraId="6DED6D19">
      <w:pPr>
        <w:spacing w:line="276" w:lineRule="auto"/>
        <w:ind w:firstLine="1050" w:firstLineChars="500"/>
        <w:rPr>
          <w:rStyle w:val="53"/>
          <w:rFonts w:hint="eastAsia" w:ascii="宋体" w:hAnsi="宋体" w:eastAsia="宋体" w:cs="宋体"/>
          <w:color w:val="auto"/>
          <w:highlight w:val="none"/>
          <w:u w:val="none"/>
        </w:rPr>
      </w:pPr>
      <w:r>
        <w:rPr>
          <w:rFonts w:hint="eastAsia" w:ascii="宋体" w:hAnsi="宋体" w:eastAsia="宋体" w:cs="宋体"/>
          <w:color w:val="auto"/>
          <w:highlight w:val="none"/>
        </w:rPr>
        <w:fldChar w:fldCharType="begin"/>
      </w:r>
      <w:r>
        <w:rPr>
          <w:rStyle w:val="53"/>
          <w:rFonts w:hint="eastAsia" w:ascii="宋体" w:hAnsi="宋体" w:eastAsia="宋体" w:cs="宋体"/>
          <w:color w:val="auto"/>
          <w:highlight w:val="none"/>
          <w:u w:val="none"/>
        </w:rPr>
        <w:instrText xml:space="preserve">HYPERLINK \l "_Toc300678582"</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（2）</w:t>
      </w:r>
      <w:r>
        <w:rPr>
          <w:rFonts w:hint="eastAsia" w:ascii="宋体" w:hAnsi="宋体" w:eastAsia="宋体" w:cs="宋体"/>
          <w:color w:val="auto"/>
          <w:highlight w:val="none"/>
        </w:rPr>
        <w:fldChar w:fldCharType="end"/>
      </w:r>
      <w:r>
        <w:rPr>
          <w:rStyle w:val="53"/>
          <w:rFonts w:hint="eastAsia" w:ascii="宋体" w:hAnsi="宋体" w:eastAsia="宋体" w:cs="宋体"/>
          <w:color w:val="auto"/>
          <w:highlight w:val="none"/>
          <w:u w:val="none"/>
        </w:rPr>
        <w:t>投标人证件复印件</w:t>
      </w:r>
    </w:p>
    <w:p w14:paraId="32E47936">
      <w:pPr>
        <w:spacing w:line="276" w:lineRule="auto"/>
        <w:ind w:firstLine="1050" w:firstLineChars="500"/>
        <w:rPr>
          <w:rStyle w:val="53"/>
          <w:rFonts w:hint="eastAsia" w:ascii="宋体" w:hAnsi="宋体" w:eastAsia="宋体" w:cs="宋体"/>
          <w:color w:val="auto"/>
          <w:highlight w:val="none"/>
          <w:u w:val="none"/>
        </w:rPr>
      </w:pPr>
      <w:r>
        <w:rPr>
          <w:rFonts w:hint="eastAsia" w:ascii="宋体" w:hAnsi="宋体" w:eastAsia="宋体" w:cs="宋体"/>
          <w:color w:val="auto"/>
          <w:highlight w:val="none"/>
        </w:rPr>
        <w:fldChar w:fldCharType="begin"/>
      </w:r>
      <w:r>
        <w:rPr>
          <w:rStyle w:val="53"/>
          <w:rFonts w:hint="eastAsia" w:ascii="宋体" w:hAnsi="宋体" w:eastAsia="宋体" w:cs="宋体"/>
          <w:color w:val="auto"/>
          <w:highlight w:val="none"/>
          <w:u w:val="none"/>
        </w:rPr>
        <w:instrText xml:space="preserve">HYPERLINK \l "_Toc300678584"</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（3）</w:t>
      </w:r>
      <w:r>
        <w:rPr>
          <w:rFonts w:hint="eastAsia" w:ascii="宋体" w:hAnsi="宋体" w:eastAsia="宋体" w:cs="宋体"/>
          <w:color w:val="auto"/>
          <w:highlight w:val="none"/>
        </w:rPr>
        <w:fldChar w:fldCharType="end"/>
      </w:r>
      <w:r>
        <w:rPr>
          <w:rStyle w:val="53"/>
          <w:rFonts w:hint="eastAsia" w:ascii="宋体" w:hAnsi="宋体" w:eastAsia="宋体" w:cs="宋体"/>
          <w:color w:val="auto"/>
          <w:highlight w:val="none"/>
          <w:u w:val="none"/>
        </w:rPr>
        <w:t>近年完成的类似工程业绩情况表</w:t>
      </w:r>
    </w:p>
    <w:p w14:paraId="0645E859">
      <w:pPr>
        <w:spacing w:line="276" w:lineRule="auto"/>
        <w:ind w:firstLine="1050" w:firstLineChars="500"/>
        <w:rPr>
          <w:rStyle w:val="53"/>
          <w:rFonts w:hint="eastAsia" w:ascii="宋体" w:hAnsi="宋体" w:eastAsia="宋体" w:cs="宋体"/>
          <w:color w:val="auto"/>
          <w:highlight w:val="none"/>
          <w:u w:val="none"/>
        </w:rPr>
      </w:pPr>
      <w:r>
        <w:rPr>
          <w:rStyle w:val="53"/>
          <w:rFonts w:hint="eastAsia" w:ascii="宋体" w:hAnsi="宋体" w:eastAsia="宋体" w:cs="宋体"/>
          <w:color w:val="auto"/>
          <w:highlight w:val="none"/>
          <w:u w:val="none"/>
        </w:rPr>
        <w:t>（4）投标人奖项情况</w:t>
      </w:r>
    </w:p>
    <w:p w14:paraId="011BB545">
      <w:pPr>
        <w:spacing w:line="276" w:lineRule="auto"/>
        <w:ind w:firstLine="1050" w:firstLineChars="500"/>
        <w:rPr>
          <w:rStyle w:val="53"/>
          <w:rFonts w:hint="eastAsia" w:ascii="宋体" w:hAnsi="宋体" w:eastAsia="宋体" w:cs="宋体"/>
          <w:color w:val="auto"/>
          <w:highlight w:val="none"/>
          <w:u w:val="none"/>
        </w:rPr>
      </w:pPr>
      <w:r>
        <w:rPr>
          <w:rStyle w:val="53"/>
          <w:rFonts w:hint="eastAsia" w:ascii="宋体" w:hAnsi="宋体" w:eastAsia="宋体" w:cs="宋体"/>
          <w:color w:val="auto"/>
          <w:highlight w:val="none"/>
          <w:u w:val="none"/>
        </w:rPr>
        <w:t>（5）投标人标准化工地情况</w:t>
      </w:r>
    </w:p>
    <w:p w14:paraId="3083DD53">
      <w:pPr>
        <w:spacing w:line="276" w:lineRule="auto"/>
        <w:ind w:firstLine="1050" w:firstLineChars="500"/>
        <w:rPr>
          <w:rStyle w:val="53"/>
          <w:rFonts w:hint="eastAsia" w:ascii="宋体" w:hAnsi="宋体" w:eastAsia="宋体" w:cs="宋体"/>
          <w:color w:val="auto"/>
          <w:highlight w:val="none"/>
          <w:u w:val="none"/>
        </w:rPr>
      </w:pPr>
      <w:r>
        <w:rPr>
          <w:rFonts w:hint="eastAsia" w:ascii="宋体" w:hAnsi="宋体" w:eastAsia="宋体" w:cs="宋体"/>
          <w:color w:val="auto"/>
          <w:highlight w:val="none"/>
        </w:rPr>
        <w:fldChar w:fldCharType="begin"/>
      </w:r>
      <w:r>
        <w:rPr>
          <w:rStyle w:val="53"/>
          <w:rFonts w:hint="eastAsia" w:ascii="宋体" w:hAnsi="宋体" w:eastAsia="宋体" w:cs="宋体"/>
          <w:color w:val="auto"/>
          <w:highlight w:val="none"/>
          <w:u w:val="none"/>
        </w:rPr>
        <w:instrText xml:space="preserve">HYPERLINK \l "_Toc300678586"</w:instrText>
      </w:r>
      <w:r>
        <w:rPr>
          <w:rFonts w:hint="eastAsia" w:ascii="宋体" w:hAnsi="宋体" w:eastAsia="宋体" w:cs="宋体"/>
          <w:color w:val="auto"/>
          <w:highlight w:val="none"/>
        </w:rPr>
        <w:fldChar w:fldCharType="separate"/>
      </w:r>
      <w:r>
        <w:rPr>
          <w:rStyle w:val="53"/>
          <w:rFonts w:hint="eastAsia" w:ascii="宋体" w:hAnsi="宋体" w:eastAsia="宋体" w:cs="宋体"/>
          <w:color w:val="auto"/>
          <w:highlight w:val="none"/>
          <w:u w:val="none"/>
        </w:rPr>
        <w:t>（6）</w:t>
      </w:r>
      <w:r>
        <w:rPr>
          <w:rFonts w:hint="eastAsia" w:ascii="宋体" w:hAnsi="宋体" w:eastAsia="宋体" w:cs="宋体"/>
          <w:color w:val="auto"/>
          <w:highlight w:val="none"/>
        </w:rPr>
        <w:fldChar w:fldCharType="end"/>
      </w:r>
      <w:r>
        <w:rPr>
          <w:rStyle w:val="53"/>
          <w:rFonts w:hint="eastAsia" w:ascii="宋体" w:hAnsi="宋体" w:eastAsia="宋体" w:cs="宋体"/>
          <w:color w:val="auto"/>
          <w:highlight w:val="none"/>
          <w:u w:val="none"/>
        </w:rPr>
        <w:t>投标人信用评价情况</w:t>
      </w:r>
    </w:p>
    <w:p w14:paraId="61C7F7AF">
      <w:pPr>
        <w:spacing w:line="276" w:lineRule="auto"/>
        <w:ind w:firstLine="1050" w:firstLineChars="500"/>
        <w:rPr>
          <w:rStyle w:val="53"/>
          <w:rFonts w:hint="eastAsia" w:ascii="宋体" w:hAnsi="宋体" w:eastAsia="宋体" w:cs="宋体"/>
          <w:color w:val="auto"/>
          <w:highlight w:val="none"/>
          <w:u w:val="none"/>
        </w:rPr>
      </w:pPr>
      <w:r>
        <w:rPr>
          <w:rStyle w:val="53"/>
          <w:rFonts w:hint="eastAsia" w:ascii="宋体" w:hAnsi="宋体" w:eastAsia="宋体" w:cs="宋体"/>
          <w:color w:val="auto"/>
          <w:highlight w:val="none"/>
          <w:u w:val="none"/>
        </w:rPr>
        <w:t>（7）投标人施工项目季度考评综合优良率情况</w:t>
      </w:r>
    </w:p>
    <w:p w14:paraId="6723DCEB">
      <w:pPr>
        <w:spacing w:line="276" w:lineRule="auto"/>
        <w:ind w:firstLine="1050" w:firstLineChars="500"/>
        <w:rPr>
          <w:rStyle w:val="53"/>
          <w:rFonts w:hint="eastAsia" w:ascii="宋体" w:hAnsi="宋体" w:eastAsia="宋体" w:cs="宋体"/>
          <w:color w:val="auto"/>
          <w:highlight w:val="none"/>
          <w:u w:val="none"/>
        </w:rPr>
      </w:pPr>
      <w:r>
        <w:rPr>
          <w:rStyle w:val="53"/>
          <w:rFonts w:hint="eastAsia" w:ascii="宋体" w:hAnsi="宋体" w:eastAsia="宋体" w:cs="宋体"/>
          <w:color w:val="auto"/>
          <w:highlight w:val="none"/>
          <w:u w:val="none"/>
        </w:rPr>
        <w:t>（8）拟任项目经理</w:t>
      </w:r>
      <w:r>
        <w:rPr>
          <w:rStyle w:val="53"/>
          <w:rFonts w:hint="eastAsia" w:ascii="宋体" w:hAnsi="宋体" w:eastAsia="宋体" w:cs="宋体"/>
          <w:color w:val="auto"/>
          <w:highlight w:val="none"/>
          <w:u w:val="none"/>
          <w:lang w:val="en-US" w:eastAsia="zh-CN"/>
        </w:rPr>
        <w:t>不良信用信息</w:t>
      </w:r>
      <w:r>
        <w:rPr>
          <w:rStyle w:val="53"/>
          <w:rFonts w:hint="eastAsia" w:ascii="宋体" w:hAnsi="宋体" w:eastAsia="宋体" w:cs="宋体"/>
          <w:color w:val="auto"/>
          <w:highlight w:val="none"/>
          <w:u w:val="none"/>
        </w:rPr>
        <w:t>证明资料复印件</w:t>
      </w:r>
    </w:p>
    <w:p w14:paraId="29631B04">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9.企业资信及履约能力（或业绩及信用）自评表</w:t>
      </w:r>
    </w:p>
    <w:p w14:paraId="6D98BCE6">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"_Toc300678591"</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10.承诺书</w:t>
      </w:r>
      <w:r>
        <w:rPr>
          <w:rFonts w:hint="eastAsia" w:ascii="宋体" w:hAnsi="宋体" w:eastAsia="宋体" w:cs="宋体"/>
          <w:color w:val="auto"/>
          <w:highlight w:val="none"/>
        </w:rPr>
        <w:fldChar w:fldCharType="end"/>
      </w:r>
    </w:p>
    <w:p w14:paraId="74024022">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11.投标信息表</w:t>
      </w:r>
    </w:p>
    <w:p w14:paraId="79AC3942">
      <w:pPr>
        <w:spacing w:line="276"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12.其他</w:t>
      </w:r>
    </w:p>
    <w:p w14:paraId="571F49C1">
      <w:pPr>
        <w:spacing w:line="400" w:lineRule="exact"/>
        <w:rPr>
          <w:rFonts w:hint="eastAsia" w:ascii="宋体" w:hAnsi="宋体" w:eastAsia="宋体" w:cs="宋体"/>
          <w:color w:val="auto"/>
          <w:highlight w:val="none"/>
        </w:rPr>
      </w:pPr>
    </w:p>
    <w:p w14:paraId="48EA813D">
      <w:pPr>
        <w:spacing w:line="312" w:lineRule="auto"/>
        <w:ind w:firstLine="360"/>
        <w:rPr>
          <w:rFonts w:hint="eastAsia" w:ascii="宋体" w:hAnsi="宋体" w:eastAsia="宋体" w:cs="宋体"/>
          <w:color w:val="auto"/>
          <w:sz w:val="18"/>
          <w:szCs w:val="18"/>
          <w:highlight w:val="none"/>
        </w:rPr>
      </w:pPr>
    </w:p>
    <w:p w14:paraId="5587EB4B">
      <w:pPr>
        <w:spacing w:line="276" w:lineRule="auto"/>
        <w:rPr>
          <w:rStyle w:val="53"/>
          <w:rFonts w:hint="eastAsia" w:ascii="宋体" w:hAnsi="宋体" w:eastAsia="宋体" w:cs="宋体"/>
          <w:color w:val="auto"/>
          <w:highlight w:val="none"/>
          <w:u w:val="none"/>
        </w:rPr>
      </w:pPr>
      <w:bookmarkStart w:id="1381" w:name="_Toc300678567"/>
      <w:r>
        <w:rPr>
          <w:rStyle w:val="53"/>
          <w:rFonts w:hint="eastAsia" w:ascii="宋体" w:hAnsi="宋体" w:eastAsia="宋体" w:cs="宋体"/>
          <w:color w:val="auto"/>
          <w:highlight w:val="none"/>
          <w:u w:val="none"/>
        </w:rPr>
        <w:br w:type="page"/>
      </w:r>
    </w:p>
    <w:p w14:paraId="799A7209">
      <w:pPr>
        <w:pStyle w:val="8"/>
        <w:spacing w:before="0" w:after="0" w:line="360" w:lineRule="auto"/>
        <w:jc w:val="center"/>
        <w:rPr>
          <w:rFonts w:hint="eastAsia" w:ascii="宋体" w:hAnsi="宋体" w:eastAsia="宋体" w:cs="宋体"/>
          <w:b w:val="0"/>
          <w:bCs w:val="0"/>
          <w:color w:val="auto"/>
          <w:sz w:val="30"/>
          <w:highlight w:val="none"/>
        </w:rPr>
      </w:pPr>
      <w:bookmarkStart w:id="1382" w:name="_Toc80006262"/>
      <w:bookmarkStart w:id="1383" w:name="_Toc18596"/>
      <w:bookmarkStart w:id="1384" w:name="_Toc26890"/>
      <w:bookmarkStart w:id="1385" w:name="_Toc29912"/>
      <w:bookmarkStart w:id="1386" w:name="_Toc80006152"/>
      <w:bookmarkStart w:id="1387" w:name="_Toc9178579"/>
      <w:bookmarkStart w:id="1388" w:name="_Toc10736"/>
      <w:r>
        <w:rPr>
          <w:rFonts w:hint="eastAsia" w:ascii="宋体" w:hAnsi="宋体" w:eastAsia="宋体" w:cs="宋体"/>
          <w:b w:val="0"/>
          <w:bCs w:val="0"/>
          <w:color w:val="auto"/>
          <w:sz w:val="30"/>
          <w:highlight w:val="none"/>
        </w:rPr>
        <w:t>1.投标函及投标函附录</w:t>
      </w:r>
      <w:bookmarkEnd w:id="1381"/>
      <w:bookmarkEnd w:id="1382"/>
      <w:bookmarkEnd w:id="1383"/>
      <w:bookmarkEnd w:id="1384"/>
      <w:bookmarkEnd w:id="1385"/>
      <w:bookmarkEnd w:id="1386"/>
      <w:bookmarkEnd w:id="1387"/>
      <w:bookmarkEnd w:id="1388"/>
    </w:p>
    <w:p w14:paraId="1A49E9FE">
      <w:pPr>
        <w:pStyle w:val="10"/>
        <w:spacing w:line="288" w:lineRule="auto"/>
        <w:jc w:val="center"/>
        <w:rPr>
          <w:rFonts w:hint="eastAsia" w:ascii="宋体" w:hAnsi="宋体" w:eastAsia="宋体" w:cs="宋体"/>
          <w:b w:val="0"/>
          <w:bCs w:val="0"/>
          <w:color w:val="auto"/>
          <w:sz w:val="24"/>
          <w:highlight w:val="none"/>
        </w:rPr>
      </w:pPr>
      <w:bookmarkStart w:id="1389" w:name="_Toc300678568"/>
      <w:r>
        <w:rPr>
          <w:rFonts w:hint="eastAsia" w:ascii="宋体" w:hAnsi="宋体" w:eastAsia="宋体" w:cs="宋体"/>
          <w:b w:val="0"/>
          <w:bCs w:val="0"/>
          <w:color w:val="auto"/>
          <w:sz w:val="24"/>
          <w:highlight w:val="none"/>
        </w:rPr>
        <w:t>（1）投  标  函</w:t>
      </w:r>
      <w:bookmarkEnd w:id="1389"/>
    </w:p>
    <w:p w14:paraId="0F74BCAF">
      <w:pPr>
        <w:rPr>
          <w:rFonts w:hint="eastAsia" w:ascii="宋体" w:hAnsi="宋体" w:eastAsia="宋体" w:cs="宋体"/>
          <w:color w:val="auto"/>
          <w:highlight w:val="none"/>
        </w:rPr>
      </w:pPr>
    </w:p>
    <w:p w14:paraId="144A2207">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p>
    <w:p w14:paraId="357BE7A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在考察现场并充分研究</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（招标项目及标段）施工招标文件的全部内容后，我方兹以：</w:t>
      </w:r>
    </w:p>
    <w:p w14:paraId="0F431FD3">
      <w:pPr>
        <w:spacing w:line="360" w:lineRule="auto"/>
        <w:ind w:firstLine="1050" w:firstLineChars="5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774DCFF1">
      <w:pPr>
        <w:spacing w:line="360" w:lineRule="auto"/>
        <w:ind w:firstLine="1050" w:firstLineChars="500"/>
        <w:rPr>
          <w:rFonts w:hint="eastAsia" w:ascii="宋体" w:hAnsi="宋体" w:eastAsia="宋体" w:cs="宋体"/>
          <w:color w:val="auto"/>
          <w:szCs w:val="21"/>
          <w:highlight w:val="none"/>
        </w:rPr>
      </w:pPr>
      <w:r>
        <w:rPr>
          <w:rFonts w:hint="eastAsia" w:ascii="宋体" w:hAnsi="宋体" w:eastAsia="宋体" w:cs="宋体"/>
          <w:color w:val="auto"/>
          <w:szCs w:val="21"/>
          <w:highlight w:val="none"/>
        </w:rPr>
        <w:t>RMB￥：</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6F18BC0C">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的投标价格和按合同约定有权得到的其它金额，并严格按照合同约定，施工、竣工和交付本工程并维修其中的任何缺陷。</w:t>
      </w:r>
    </w:p>
    <w:p w14:paraId="4B3AABD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如果我方中标，我方保证按照合同约定的开工日期开始本工程的施工，</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□天（日历日）□月□年内竣工，并确保工程质量达到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标准。我方同意本投标函在招标文件规定的提交投标文件截止时间后，在招标文件规定的投标有效期期满前对我方具有约束力，且随时准备接受你方发出的中标通知书。</w:t>
      </w:r>
    </w:p>
    <w:p w14:paraId="2417531C">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随本投标函递交的投标函附录是本投标函的组成部分，对我方构成约束力。</w:t>
      </w:r>
    </w:p>
    <w:p w14:paraId="458DA63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随同本投标函递交□投标保证：</w:t>
      </w:r>
    </w:p>
    <w:p w14:paraId="4D0CC19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□投标保证金，金额为人民币（大写）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7B83F49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□投标保函一份，金额为人民币（大写）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384CCB36">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□投标承诺。</w:t>
      </w:r>
    </w:p>
    <w:p w14:paraId="52313BC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我方承诺：若我方中标，承诺在规定时间内按投标人须知前附表规定提交履约保证金。</w:t>
      </w:r>
    </w:p>
    <w:p w14:paraId="08B1F50A">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在签署协议书之前，你方的中标通知书连同本投标函，包括投标函附录，对双方具有约束力。</w:t>
      </w:r>
    </w:p>
    <w:p w14:paraId="29358701">
      <w:pPr>
        <w:ind w:firstLine="420" w:firstLineChars="200"/>
        <w:rPr>
          <w:rFonts w:hint="eastAsia" w:ascii="宋体" w:hAnsi="宋体" w:eastAsia="宋体" w:cs="宋体"/>
          <w:color w:val="auto"/>
          <w:szCs w:val="21"/>
          <w:highlight w:val="none"/>
        </w:rPr>
      </w:pPr>
    </w:p>
    <w:p w14:paraId="6B2931B6">
      <w:pPr>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投标人（盖单位章）：</w:t>
      </w:r>
    </w:p>
    <w:p w14:paraId="0970944D">
      <w:pPr>
        <w:ind w:firstLine="420" w:firstLineChars="200"/>
        <w:rPr>
          <w:rFonts w:hint="eastAsia" w:ascii="宋体" w:hAnsi="宋体" w:eastAsia="宋体" w:cs="宋体"/>
          <w:color w:val="auto"/>
          <w:szCs w:val="21"/>
          <w:highlight w:val="none"/>
        </w:rPr>
      </w:pPr>
    </w:p>
    <w:p w14:paraId="66B29EE7">
      <w:pPr>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法定代表人或其委托代理人（签字或盖章）：</w:t>
      </w:r>
    </w:p>
    <w:p w14:paraId="400BC8A8">
      <w:pPr>
        <w:ind w:firstLine="420" w:firstLineChars="200"/>
        <w:rPr>
          <w:rFonts w:hint="eastAsia" w:ascii="宋体" w:hAnsi="宋体" w:eastAsia="宋体" w:cs="宋体"/>
          <w:color w:val="auto"/>
          <w:szCs w:val="21"/>
          <w:highlight w:val="none"/>
        </w:rPr>
      </w:pPr>
    </w:p>
    <w:p w14:paraId="7328523A">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   年  月  日</w:t>
      </w:r>
    </w:p>
    <w:p w14:paraId="7E74DD0F">
      <w:pPr>
        <w:spacing w:line="360" w:lineRule="auto"/>
        <w:rPr>
          <w:rFonts w:hint="eastAsia" w:ascii="宋体" w:hAnsi="宋体" w:eastAsia="宋体" w:cs="宋体"/>
          <w:color w:val="auto"/>
          <w:sz w:val="24"/>
          <w:highlight w:val="none"/>
        </w:rPr>
        <w:sectPr>
          <w:pgSz w:w="11907" w:h="16840"/>
          <w:pgMar w:top="1440" w:right="1440" w:bottom="1440" w:left="1440" w:header="851" w:footer="850" w:gutter="0"/>
          <w:cols w:space="720" w:num="1"/>
          <w:docGrid w:linePitch="326" w:charSpace="0"/>
        </w:sectPr>
      </w:pPr>
    </w:p>
    <w:p w14:paraId="2FA8AB6A">
      <w:pPr>
        <w:pStyle w:val="10"/>
        <w:jc w:val="center"/>
        <w:rPr>
          <w:rFonts w:hint="eastAsia" w:ascii="宋体" w:hAnsi="宋体" w:eastAsia="宋体" w:cs="宋体"/>
          <w:b w:val="0"/>
          <w:bCs w:val="0"/>
          <w:color w:val="auto"/>
          <w:sz w:val="24"/>
          <w:highlight w:val="none"/>
        </w:rPr>
      </w:pPr>
      <w:bookmarkStart w:id="1390" w:name="_Toc300678569"/>
      <w:r>
        <w:rPr>
          <w:rFonts w:hint="eastAsia" w:ascii="宋体" w:hAnsi="宋体" w:eastAsia="宋体" w:cs="宋体"/>
          <w:b w:val="0"/>
          <w:bCs w:val="0"/>
          <w:color w:val="auto"/>
          <w:sz w:val="24"/>
          <w:highlight w:val="none"/>
        </w:rPr>
        <w:t>（2）投标函附录</w:t>
      </w:r>
      <w:bookmarkEnd w:id="1390"/>
    </w:p>
    <w:p w14:paraId="2526FF86">
      <w:pPr>
        <w:spacing w:after="287" w:afterLines="50"/>
        <w:rPr>
          <w:rFonts w:hint="eastAsia" w:ascii="宋体" w:hAnsi="宋体" w:eastAsia="宋体" w:cs="宋体"/>
          <w:color w:val="auto"/>
          <w:szCs w:val="21"/>
          <w:highlight w:val="none"/>
        </w:rPr>
      </w:pPr>
      <w:r>
        <w:rPr>
          <w:rFonts w:hint="eastAsia" w:ascii="宋体" w:hAnsi="宋体" w:eastAsia="宋体" w:cs="宋体"/>
          <w:bCs/>
          <w:color w:val="auto"/>
          <w:szCs w:val="21"/>
          <w:highlight w:val="none"/>
          <w:u w:val="single"/>
        </w:rPr>
        <w:t xml:space="preserve">                  </w:t>
      </w:r>
      <w:r>
        <w:rPr>
          <w:rFonts w:hint="eastAsia" w:ascii="宋体" w:hAnsi="宋体" w:eastAsia="宋体" w:cs="宋体"/>
          <w:color w:val="auto"/>
          <w:szCs w:val="21"/>
          <w:highlight w:val="none"/>
        </w:rPr>
        <w:t>（招标项目及标段名称）</w:t>
      </w:r>
    </w:p>
    <w:tbl>
      <w:tblPr>
        <w:tblStyle w:val="42"/>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931"/>
        <w:gridCol w:w="1278"/>
        <w:gridCol w:w="2975"/>
        <w:gridCol w:w="871"/>
      </w:tblGrid>
      <w:tr w14:paraId="124C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7355608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 号</w:t>
            </w:r>
          </w:p>
        </w:tc>
        <w:tc>
          <w:tcPr>
            <w:tcW w:w="2931" w:type="dxa"/>
            <w:vAlign w:val="center"/>
          </w:tcPr>
          <w:p w14:paraId="59657AF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条款内容</w:t>
            </w:r>
          </w:p>
        </w:tc>
        <w:tc>
          <w:tcPr>
            <w:tcW w:w="1278" w:type="dxa"/>
            <w:vAlign w:val="center"/>
          </w:tcPr>
          <w:p w14:paraId="5FAA551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合同条款号</w:t>
            </w:r>
          </w:p>
        </w:tc>
        <w:tc>
          <w:tcPr>
            <w:tcW w:w="2975" w:type="dxa"/>
            <w:vAlign w:val="center"/>
          </w:tcPr>
          <w:p w14:paraId="3FAF059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约定内容</w:t>
            </w:r>
          </w:p>
        </w:tc>
        <w:tc>
          <w:tcPr>
            <w:tcW w:w="871" w:type="dxa"/>
            <w:vAlign w:val="center"/>
          </w:tcPr>
          <w:p w14:paraId="31F1624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tc>
      </w:tr>
      <w:tr w14:paraId="4BD7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79803EC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931" w:type="dxa"/>
            <w:vAlign w:val="center"/>
          </w:tcPr>
          <w:p w14:paraId="6B47BD9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278" w:type="dxa"/>
            <w:tcMar>
              <w:left w:w="170" w:type="dxa"/>
            </w:tcMar>
            <w:vAlign w:val="center"/>
          </w:tcPr>
          <w:p w14:paraId="46ED0A92">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70798F2B">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姓名：  </w:t>
            </w:r>
          </w:p>
        </w:tc>
        <w:tc>
          <w:tcPr>
            <w:tcW w:w="871" w:type="dxa"/>
            <w:vAlign w:val="center"/>
          </w:tcPr>
          <w:p w14:paraId="09C02A1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655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16A5755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931" w:type="dxa"/>
            <w:vAlign w:val="center"/>
          </w:tcPr>
          <w:p w14:paraId="4D8259D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w:t>
            </w:r>
          </w:p>
        </w:tc>
        <w:tc>
          <w:tcPr>
            <w:tcW w:w="1278" w:type="dxa"/>
            <w:tcMar>
              <w:left w:w="170" w:type="dxa"/>
            </w:tcMar>
            <w:vAlign w:val="center"/>
          </w:tcPr>
          <w:p w14:paraId="09536850">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05BDB633">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871" w:type="dxa"/>
            <w:vAlign w:val="center"/>
          </w:tcPr>
          <w:p w14:paraId="484064E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C5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7322DC5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931" w:type="dxa"/>
            <w:vAlign w:val="center"/>
          </w:tcPr>
          <w:p w14:paraId="2564718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质量标准</w:t>
            </w:r>
          </w:p>
        </w:tc>
        <w:tc>
          <w:tcPr>
            <w:tcW w:w="1278" w:type="dxa"/>
            <w:tcMar>
              <w:left w:w="170" w:type="dxa"/>
            </w:tcMar>
            <w:vAlign w:val="center"/>
          </w:tcPr>
          <w:p w14:paraId="01DB17E2">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66C03F7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u w:val="single"/>
              </w:rPr>
            </w:pPr>
          </w:p>
        </w:tc>
        <w:tc>
          <w:tcPr>
            <w:tcW w:w="871" w:type="dxa"/>
            <w:vAlign w:val="center"/>
          </w:tcPr>
          <w:p w14:paraId="2534AB3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9D4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5D69F64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931" w:type="dxa"/>
            <w:vAlign w:val="center"/>
          </w:tcPr>
          <w:p w14:paraId="5F0CED0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保修要求</w:t>
            </w:r>
          </w:p>
        </w:tc>
        <w:tc>
          <w:tcPr>
            <w:tcW w:w="1278" w:type="dxa"/>
            <w:tcMar>
              <w:left w:w="170" w:type="dxa"/>
            </w:tcMar>
            <w:vAlign w:val="center"/>
          </w:tcPr>
          <w:p w14:paraId="32DC21C5">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5C24B7A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u w:val="single"/>
              </w:rPr>
            </w:pPr>
          </w:p>
        </w:tc>
        <w:tc>
          <w:tcPr>
            <w:tcW w:w="871" w:type="dxa"/>
            <w:vAlign w:val="center"/>
          </w:tcPr>
          <w:p w14:paraId="769CCB6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889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01BB902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931" w:type="dxa"/>
            <w:vAlign w:val="center"/>
          </w:tcPr>
          <w:p w14:paraId="16E7BDB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w:t>
            </w:r>
          </w:p>
        </w:tc>
        <w:tc>
          <w:tcPr>
            <w:tcW w:w="1278" w:type="dxa"/>
            <w:tcMar>
              <w:left w:w="170" w:type="dxa"/>
            </w:tcMar>
            <w:vAlign w:val="center"/>
          </w:tcPr>
          <w:p w14:paraId="16BC0A25">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40C3A38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1546CA6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26E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12DC60D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931" w:type="dxa"/>
            <w:vAlign w:val="center"/>
          </w:tcPr>
          <w:p w14:paraId="6E73FE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承包人履约担保金额</w:t>
            </w:r>
          </w:p>
        </w:tc>
        <w:tc>
          <w:tcPr>
            <w:tcW w:w="1278" w:type="dxa"/>
            <w:tcMar>
              <w:left w:w="170" w:type="dxa"/>
            </w:tcMar>
            <w:vAlign w:val="center"/>
          </w:tcPr>
          <w:p w14:paraId="333DB042">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7F6149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3C30BD6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A97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203770D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931" w:type="dxa"/>
            <w:vAlign w:val="center"/>
          </w:tcPr>
          <w:p w14:paraId="351EBB3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分包</w:t>
            </w:r>
          </w:p>
        </w:tc>
        <w:tc>
          <w:tcPr>
            <w:tcW w:w="1278" w:type="dxa"/>
            <w:tcMar>
              <w:left w:w="170" w:type="dxa"/>
            </w:tcMar>
            <w:vAlign w:val="center"/>
          </w:tcPr>
          <w:p w14:paraId="0C3BF88A">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34A8F2E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见分包项目情况表</w:t>
            </w:r>
          </w:p>
        </w:tc>
        <w:tc>
          <w:tcPr>
            <w:tcW w:w="871" w:type="dxa"/>
            <w:vAlign w:val="center"/>
          </w:tcPr>
          <w:p w14:paraId="330A5F4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413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5935B82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931" w:type="dxa"/>
            <w:vAlign w:val="center"/>
          </w:tcPr>
          <w:p w14:paraId="0137466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逾期竣工违约金</w:t>
            </w:r>
          </w:p>
        </w:tc>
        <w:tc>
          <w:tcPr>
            <w:tcW w:w="1278" w:type="dxa"/>
            <w:tcMar>
              <w:left w:w="170" w:type="dxa"/>
            </w:tcMar>
            <w:vAlign w:val="center"/>
          </w:tcPr>
          <w:p w14:paraId="22649F6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5121E7D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元/天</w:t>
            </w:r>
          </w:p>
        </w:tc>
        <w:tc>
          <w:tcPr>
            <w:tcW w:w="871" w:type="dxa"/>
            <w:vAlign w:val="center"/>
          </w:tcPr>
          <w:p w14:paraId="05A2189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EF2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4CEEAEE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931" w:type="dxa"/>
            <w:vAlign w:val="center"/>
          </w:tcPr>
          <w:p w14:paraId="1DD4039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逾期竣工违约金最高限额</w:t>
            </w:r>
          </w:p>
        </w:tc>
        <w:tc>
          <w:tcPr>
            <w:tcW w:w="1278" w:type="dxa"/>
            <w:tcMar>
              <w:left w:w="170" w:type="dxa"/>
            </w:tcMar>
            <w:vAlign w:val="center"/>
          </w:tcPr>
          <w:p w14:paraId="1375DC6F">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3F043488">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871" w:type="dxa"/>
            <w:vAlign w:val="center"/>
          </w:tcPr>
          <w:p w14:paraId="71EB6D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4F9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2366324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2931" w:type="dxa"/>
            <w:vAlign w:val="center"/>
          </w:tcPr>
          <w:p w14:paraId="5B7354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预付款额度</w:t>
            </w:r>
          </w:p>
        </w:tc>
        <w:tc>
          <w:tcPr>
            <w:tcW w:w="1278" w:type="dxa"/>
            <w:tcMar>
              <w:left w:w="170" w:type="dxa"/>
            </w:tcMar>
            <w:vAlign w:val="center"/>
          </w:tcPr>
          <w:p w14:paraId="55205BB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31CEE5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12F7125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6A13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042BD56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931" w:type="dxa"/>
            <w:vAlign w:val="center"/>
          </w:tcPr>
          <w:p w14:paraId="6B09E1D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质量保证金额度</w:t>
            </w:r>
          </w:p>
        </w:tc>
        <w:tc>
          <w:tcPr>
            <w:tcW w:w="1278" w:type="dxa"/>
            <w:tcMar>
              <w:left w:w="170" w:type="dxa"/>
            </w:tcMar>
            <w:vAlign w:val="center"/>
          </w:tcPr>
          <w:p w14:paraId="4B302969">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7D501C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0122F83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05F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221447C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931" w:type="dxa"/>
            <w:vAlign w:val="center"/>
          </w:tcPr>
          <w:p w14:paraId="4C717F83">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1278" w:type="dxa"/>
            <w:tcMar>
              <w:left w:w="170" w:type="dxa"/>
            </w:tcMar>
            <w:vAlign w:val="center"/>
          </w:tcPr>
          <w:p w14:paraId="7DB4FACE">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975" w:type="dxa"/>
            <w:vAlign w:val="center"/>
          </w:tcPr>
          <w:p w14:paraId="624BF1B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4EAD593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206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vAlign w:val="center"/>
          </w:tcPr>
          <w:p w14:paraId="2CD57ED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931" w:type="dxa"/>
            <w:vAlign w:val="center"/>
          </w:tcPr>
          <w:p w14:paraId="2A6199E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1278" w:type="dxa"/>
            <w:vAlign w:val="center"/>
          </w:tcPr>
          <w:p w14:paraId="6C066F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975" w:type="dxa"/>
            <w:vAlign w:val="center"/>
          </w:tcPr>
          <w:p w14:paraId="58C4D8A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71" w:type="dxa"/>
            <w:vAlign w:val="center"/>
          </w:tcPr>
          <w:p w14:paraId="1A03FF1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3EA7657F">
      <w:pPr>
        <w:ind w:firstLine="404" w:firstLineChars="200"/>
        <w:rPr>
          <w:rFonts w:hint="eastAsia" w:ascii="宋体" w:hAnsi="宋体" w:eastAsia="宋体" w:cs="宋体"/>
          <w:color w:val="auto"/>
          <w:szCs w:val="21"/>
          <w:highlight w:val="none"/>
          <w:u w:val="single"/>
        </w:rPr>
      </w:pPr>
      <w:r>
        <w:rPr>
          <w:rFonts w:hint="eastAsia" w:ascii="宋体" w:hAnsi="宋体" w:eastAsia="宋体" w:cs="宋体"/>
          <w:bCs/>
          <w:color w:val="auto"/>
          <w:szCs w:val="21"/>
          <w:highlight w:val="none"/>
        </w:rPr>
        <w:t>投标人</w:t>
      </w:r>
      <w:r>
        <w:rPr>
          <w:rFonts w:hint="eastAsia" w:ascii="宋体" w:hAnsi="宋体" w:eastAsia="宋体" w:cs="宋体"/>
          <w:color w:val="auto"/>
          <w:szCs w:val="21"/>
          <w:highlight w:val="none"/>
        </w:rPr>
        <w:t>（盖单位章）：</w:t>
      </w:r>
    </w:p>
    <w:p w14:paraId="6AD8299F">
      <w:pPr>
        <w:ind w:firstLine="404"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法定代表人或其委托代理人</w:t>
      </w:r>
      <w:r>
        <w:rPr>
          <w:rFonts w:hint="eastAsia" w:ascii="宋体" w:hAnsi="宋体" w:eastAsia="宋体" w:cs="宋体"/>
          <w:color w:val="auto"/>
          <w:szCs w:val="21"/>
          <w:highlight w:val="none"/>
        </w:rPr>
        <w:t>（签字或盖章）：</w:t>
      </w:r>
    </w:p>
    <w:p w14:paraId="5D0907FC">
      <w:pP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日期：   年  月  日</w:t>
      </w:r>
      <w:bookmarkStart w:id="1391" w:name="_Toc300678570"/>
    </w:p>
    <w:p w14:paraId="368870A3">
      <w:pPr>
        <w:rPr>
          <w:rFonts w:hint="eastAsia" w:ascii="宋体" w:hAnsi="宋体" w:eastAsia="宋体" w:cs="宋体"/>
          <w:bCs/>
          <w:color w:val="auto"/>
          <w:szCs w:val="21"/>
          <w:highlight w:val="none"/>
        </w:rPr>
      </w:pPr>
    </w:p>
    <w:p w14:paraId="552AA143">
      <w:pPr>
        <w:ind w:firstLine="258" w:firstLineChars="150"/>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说明：投标人可以在响应招标文件规定的实质性要求和条件的基础上，作出其他有利于招标人的承诺。</w:t>
      </w:r>
    </w:p>
    <w:p w14:paraId="3FC6B679">
      <w:pPr>
        <w:ind w:firstLine="344" w:firstLineChars="200"/>
        <w:rPr>
          <w:rFonts w:hint="eastAsia" w:ascii="宋体" w:hAnsi="宋体" w:eastAsia="宋体" w:cs="宋体"/>
          <w:color w:val="auto"/>
          <w:kern w:val="0"/>
          <w:szCs w:val="21"/>
          <w:highlight w:val="none"/>
        </w:rPr>
      </w:pPr>
      <w:r>
        <w:rPr>
          <w:rFonts w:hint="eastAsia" w:ascii="宋体" w:hAnsi="宋体" w:eastAsia="宋体" w:cs="宋体"/>
          <w:color w:val="auto"/>
          <w:sz w:val="18"/>
          <w:szCs w:val="21"/>
          <w:highlight w:val="none"/>
        </w:rPr>
        <w:t>此类承诺可在本表中予以补充填写。</w:t>
      </w:r>
    </w:p>
    <w:p w14:paraId="044E2222">
      <w:pPr>
        <w:pStyle w:val="8"/>
        <w:spacing w:line="240" w:lineRule="auto"/>
        <w:jc w:val="center"/>
        <w:rPr>
          <w:rFonts w:hint="eastAsia" w:ascii="宋体" w:hAnsi="宋体" w:eastAsia="宋体" w:cs="宋体"/>
          <w:b w:val="0"/>
          <w:bCs w:val="0"/>
          <w:color w:val="auto"/>
          <w:sz w:val="30"/>
          <w:highlight w:val="none"/>
        </w:rPr>
      </w:pPr>
      <w:bookmarkStart w:id="1392" w:name="_Toc32532"/>
      <w:bookmarkStart w:id="1393" w:name="_Toc80006263"/>
      <w:bookmarkStart w:id="1394" w:name="_Toc3952"/>
      <w:bookmarkStart w:id="1395" w:name="_Toc9178580"/>
      <w:bookmarkStart w:id="1396" w:name="_Toc80006153"/>
      <w:bookmarkStart w:id="1397" w:name="_Toc10976"/>
      <w:bookmarkStart w:id="1398" w:name="_Toc30577"/>
      <w:r>
        <w:rPr>
          <w:rFonts w:hint="eastAsia" w:ascii="宋体" w:hAnsi="宋体" w:eastAsia="宋体" w:cs="宋体"/>
          <w:b w:val="0"/>
          <w:bCs w:val="0"/>
          <w:color w:val="auto"/>
          <w:sz w:val="30"/>
          <w:highlight w:val="none"/>
        </w:rPr>
        <w:t>2.法定代表人身份证明</w:t>
      </w:r>
      <w:bookmarkEnd w:id="1391"/>
      <w:bookmarkEnd w:id="1392"/>
      <w:bookmarkEnd w:id="1393"/>
      <w:bookmarkEnd w:id="1394"/>
      <w:bookmarkEnd w:id="1395"/>
      <w:bookmarkEnd w:id="1396"/>
      <w:bookmarkEnd w:id="1397"/>
      <w:bookmarkEnd w:id="1398"/>
    </w:p>
    <w:p w14:paraId="36E658E1">
      <w:pPr>
        <w:widowControl/>
        <w:topLinePunct/>
        <w:spacing w:line="600" w:lineRule="atLeast"/>
        <w:ind w:firstLine="42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21AFAC1A">
      <w:pPr>
        <w:widowControl/>
        <w:topLinePunct/>
        <w:spacing w:line="600" w:lineRule="atLeast"/>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p>
    <w:p w14:paraId="4D4D8048">
      <w:pPr>
        <w:widowControl/>
        <w:topLinePunct/>
        <w:spacing w:line="600" w:lineRule="atLeast"/>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成立时间：    年   月  日</w:t>
      </w:r>
    </w:p>
    <w:p w14:paraId="76D261DA">
      <w:pPr>
        <w:widowControl/>
        <w:topLinePunct/>
        <w:spacing w:line="600" w:lineRule="atLeast"/>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经营期限：</w:t>
      </w:r>
    </w:p>
    <w:p w14:paraId="52EC3210">
      <w:pPr>
        <w:widowControl/>
        <w:topLinePunct/>
        <w:spacing w:line="600" w:lineRule="atLeast"/>
        <w:ind w:firstLine="42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姓名：           性别：               年龄：                             职务：</w:t>
      </w:r>
    </w:p>
    <w:p w14:paraId="42A233D3">
      <w:pPr>
        <w:widowControl/>
        <w:topLinePunct/>
        <w:spacing w:line="600" w:lineRule="atLeast"/>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（投标人名称）的法定代表人。</w:t>
      </w:r>
    </w:p>
    <w:p w14:paraId="34FC4B60">
      <w:pPr>
        <w:widowControl/>
        <w:topLinePunct/>
        <w:spacing w:line="600" w:lineRule="atLeast"/>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特此证明。</w:t>
      </w:r>
    </w:p>
    <w:p w14:paraId="71B627B0">
      <w:pPr>
        <w:widowControl/>
        <w:topLinePunct/>
        <w:spacing w:line="440" w:lineRule="atLeast"/>
        <w:rPr>
          <w:rFonts w:hint="eastAsia" w:ascii="宋体" w:hAnsi="宋体" w:eastAsia="宋体" w:cs="宋体"/>
          <w:color w:val="auto"/>
          <w:kern w:val="0"/>
          <w:szCs w:val="21"/>
          <w:highlight w:val="none"/>
        </w:rPr>
      </w:pPr>
    </w:p>
    <w:p w14:paraId="12C9616B">
      <w:pPr>
        <w:widowControl/>
        <w:topLinePunct/>
        <w:spacing w:line="460" w:lineRule="atLeast"/>
        <w:ind w:firstLine="404"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附：法定代表人身份证复印件（正面和反面）</w:t>
      </w:r>
    </w:p>
    <w:p w14:paraId="23320BD5">
      <w:pPr>
        <w:widowControl/>
        <w:topLinePunct/>
        <w:spacing w:line="440" w:lineRule="atLeast"/>
        <w:ind w:firstLine="610"/>
        <w:rPr>
          <w:rFonts w:hint="eastAsia" w:ascii="宋体" w:hAnsi="宋体" w:eastAsia="宋体" w:cs="宋体"/>
          <w:color w:val="auto"/>
          <w:kern w:val="0"/>
          <w:szCs w:val="21"/>
          <w:highlight w:val="none"/>
        </w:rPr>
      </w:pPr>
    </w:p>
    <w:p w14:paraId="4D021798">
      <w:pPr>
        <w:widowControl/>
        <w:topLinePunct/>
        <w:spacing w:line="440" w:lineRule="atLeast"/>
        <w:ind w:firstLine="2879"/>
        <w:rPr>
          <w:rFonts w:hint="eastAsia" w:ascii="宋体" w:hAnsi="宋体" w:eastAsia="宋体" w:cs="宋体"/>
          <w:color w:val="auto"/>
          <w:kern w:val="0"/>
          <w:szCs w:val="21"/>
          <w:highlight w:val="none"/>
        </w:rPr>
      </w:pPr>
    </w:p>
    <w:p w14:paraId="10861785">
      <w:pPr>
        <w:widowControl/>
        <w:topLinePunct/>
        <w:spacing w:line="440" w:lineRule="atLeas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投标人：（盖单位章）</w:t>
      </w:r>
    </w:p>
    <w:p w14:paraId="33B772BB">
      <w:pPr>
        <w:widowControl/>
        <w:topLinePunct/>
        <w:spacing w:line="440" w:lineRule="atLeast"/>
        <w:rPr>
          <w:rFonts w:hint="eastAsia" w:ascii="宋体" w:hAnsi="宋体" w:eastAsia="宋体" w:cs="宋体"/>
          <w:color w:val="auto"/>
          <w:kern w:val="0"/>
          <w:szCs w:val="21"/>
          <w:highlight w:val="none"/>
        </w:rPr>
      </w:pPr>
    </w:p>
    <w:p w14:paraId="175CA147">
      <w:pPr>
        <w:widowControl/>
        <w:topLinePunct/>
        <w:spacing w:line="440" w:lineRule="atLeast"/>
        <w:ind w:firstLine="3030" w:firstLineChars="15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年   月   日</w:t>
      </w:r>
      <w:bookmarkStart w:id="1399" w:name="_Toc300678571"/>
    </w:p>
    <w:p w14:paraId="729097F9">
      <w:pPr>
        <w:widowControl/>
        <w:topLinePunct/>
        <w:spacing w:line="440" w:lineRule="atLeast"/>
        <w:ind w:firstLine="3030" w:firstLineChars="1500"/>
        <w:jc w:val="right"/>
        <w:rPr>
          <w:rFonts w:hint="eastAsia" w:ascii="宋体" w:hAnsi="宋体" w:eastAsia="宋体" w:cs="宋体"/>
          <w:color w:val="auto"/>
          <w:kern w:val="0"/>
          <w:szCs w:val="21"/>
          <w:highlight w:val="none"/>
        </w:rPr>
      </w:pPr>
    </w:p>
    <w:p w14:paraId="60B4D261">
      <w:pPr>
        <w:widowControl/>
        <w:topLinePunct/>
        <w:spacing w:line="440" w:lineRule="atLeast"/>
        <w:ind w:firstLine="3030" w:firstLineChars="1500"/>
        <w:jc w:val="right"/>
        <w:rPr>
          <w:rFonts w:hint="eastAsia" w:ascii="宋体" w:hAnsi="宋体" w:eastAsia="宋体" w:cs="宋体"/>
          <w:color w:val="auto"/>
          <w:kern w:val="0"/>
          <w:szCs w:val="21"/>
          <w:highlight w:val="none"/>
        </w:rPr>
        <w:sectPr>
          <w:pgSz w:w="11906" w:h="16838"/>
          <w:pgMar w:top="1440" w:right="1588" w:bottom="1440" w:left="1440" w:header="1134" w:footer="851" w:gutter="0"/>
          <w:cols w:space="720" w:num="1"/>
          <w:docGrid w:type="linesAndChars" w:linePitch="574" w:charSpace="-1683"/>
        </w:sectPr>
      </w:pPr>
    </w:p>
    <w:p w14:paraId="46A611CD">
      <w:pPr>
        <w:pStyle w:val="8"/>
        <w:jc w:val="center"/>
        <w:rPr>
          <w:rFonts w:hint="eastAsia" w:ascii="宋体" w:hAnsi="宋体" w:eastAsia="宋体" w:cs="宋体"/>
          <w:b w:val="0"/>
          <w:bCs w:val="0"/>
          <w:color w:val="auto"/>
          <w:sz w:val="30"/>
          <w:highlight w:val="none"/>
        </w:rPr>
      </w:pPr>
      <w:bookmarkStart w:id="1400" w:name="_Toc19290"/>
      <w:bookmarkStart w:id="1401" w:name="_Toc2421"/>
      <w:bookmarkStart w:id="1402" w:name="_Toc80006264"/>
      <w:bookmarkStart w:id="1403" w:name="_Toc22689"/>
      <w:bookmarkStart w:id="1404" w:name="_Toc80006154"/>
      <w:bookmarkStart w:id="1405" w:name="_Toc23335"/>
      <w:bookmarkStart w:id="1406" w:name="_Toc9178581"/>
      <w:r>
        <w:rPr>
          <w:rFonts w:hint="eastAsia" w:ascii="宋体" w:hAnsi="宋体" w:eastAsia="宋体" w:cs="宋体"/>
          <w:b w:val="0"/>
          <w:bCs w:val="0"/>
          <w:color w:val="auto"/>
          <w:sz w:val="30"/>
          <w:highlight w:val="none"/>
        </w:rPr>
        <w:t>3.授权委托书</w:t>
      </w:r>
      <w:bookmarkEnd w:id="1399"/>
      <w:bookmarkEnd w:id="1400"/>
      <w:bookmarkEnd w:id="1401"/>
      <w:bookmarkEnd w:id="1402"/>
      <w:bookmarkEnd w:id="1403"/>
      <w:bookmarkEnd w:id="1404"/>
      <w:bookmarkEnd w:id="1405"/>
      <w:bookmarkEnd w:id="1406"/>
    </w:p>
    <w:p w14:paraId="5565E122">
      <w:pPr>
        <w:widowControl/>
        <w:topLinePunct/>
        <w:spacing w:line="440" w:lineRule="exact"/>
        <w:ind w:firstLine="404"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（投标人名称）的法定代表人，现委托</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（姓名）为我方代理人。代理人根据授权，以我方名义签署、澄清、说明、补正、递交、撤回、修改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（招标项目及标段）</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施工招标投标文件，其法律后果由我方承担。</w:t>
      </w:r>
    </w:p>
    <w:p w14:paraId="110162C4">
      <w:pPr>
        <w:widowControl/>
        <w:topLinePunct/>
        <w:spacing w:line="440" w:lineRule="exact"/>
        <w:ind w:firstLine="404" w:firstLineChars="200"/>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14:paraId="02FA88A8">
      <w:pPr>
        <w:widowControl/>
        <w:topLinePunct/>
        <w:spacing w:line="440" w:lineRule="exact"/>
        <w:ind w:firstLine="404"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2D9C90BE">
      <w:pPr>
        <w:widowControl/>
        <w:topLinePunct/>
        <w:spacing w:line="440" w:lineRule="exact"/>
        <w:ind w:firstLine="61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附：法定代表人及委托代理人身份证复印件（正面和反面）</w:t>
      </w:r>
    </w:p>
    <w:p w14:paraId="2A9833A6">
      <w:pPr>
        <w:widowControl/>
        <w:topLinePunct/>
        <w:spacing w:line="440" w:lineRule="atLeast"/>
        <w:ind w:firstLine="610"/>
        <w:rPr>
          <w:rFonts w:hint="eastAsia" w:ascii="宋体" w:hAnsi="宋体" w:eastAsia="宋体" w:cs="宋体"/>
          <w:color w:val="auto"/>
          <w:kern w:val="0"/>
          <w:szCs w:val="21"/>
          <w:highlight w:val="none"/>
        </w:rPr>
      </w:pPr>
    </w:p>
    <w:p w14:paraId="3F6F9FAD">
      <w:pPr>
        <w:widowControl/>
        <w:topLinePunct/>
        <w:spacing w:line="440" w:lineRule="atLeast"/>
        <w:ind w:firstLine="2879"/>
        <w:rPr>
          <w:rFonts w:hint="eastAsia" w:ascii="宋体" w:hAnsi="宋体" w:eastAsia="宋体" w:cs="宋体"/>
          <w:color w:val="auto"/>
          <w:kern w:val="0"/>
          <w:szCs w:val="21"/>
          <w:highlight w:val="none"/>
        </w:rPr>
      </w:pPr>
    </w:p>
    <w:p w14:paraId="4CED2661">
      <w:pPr>
        <w:widowControl/>
        <w:topLinePunct/>
        <w:spacing w:line="440" w:lineRule="atLeast"/>
        <w:ind w:firstLine="287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投标人：（盖单位章）</w:t>
      </w:r>
    </w:p>
    <w:p w14:paraId="16719908">
      <w:pPr>
        <w:widowControl/>
        <w:topLinePunct/>
        <w:spacing w:line="440" w:lineRule="atLeast"/>
        <w:ind w:firstLine="287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法定代表人：（签字</w:t>
      </w:r>
      <w:r>
        <w:rPr>
          <w:rFonts w:hint="eastAsia" w:ascii="宋体" w:hAnsi="宋体" w:eastAsia="宋体" w:cs="宋体"/>
          <w:color w:val="auto"/>
          <w:szCs w:val="21"/>
          <w:highlight w:val="none"/>
        </w:rPr>
        <w:t>或盖章</w:t>
      </w:r>
      <w:r>
        <w:rPr>
          <w:rFonts w:hint="eastAsia" w:ascii="宋体" w:hAnsi="宋体" w:eastAsia="宋体" w:cs="宋体"/>
          <w:color w:val="auto"/>
          <w:kern w:val="0"/>
          <w:szCs w:val="21"/>
          <w:highlight w:val="none"/>
        </w:rPr>
        <w:t>）</w:t>
      </w:r>
    </w:p>
    <w:p w14:paraId="0994BCE3">
      <w:pPr>
        <w:widowControl/>
        <w:topLinePunct/>
        <w:spacing w:line="440" w:lineRule="atLeast"/>
        <w:ind w:firstLine="287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委托代理人：（签字</w:t>
      </w:r>
      <w:r>
        <w:rPr>
          <w:rFonts w:hint="eastAsia" w:ascii="宋体" w:hAnsi="宋体" w:eastAsia="宋体" w:cs="宋体"/>
          <w:color w:val="auto"/>
          <w:szCs w:val="21"/>
          <w:highlight w:val="none"/>
        </w:rPr>
        <w:t>或盖章</w:t>
      </w:r>
      <w:r>
        <w:rPr>
          <w:rFonts w:hint="eastAsia" w:ascii="宋体" w:hAnsi="宋体" w:eastAsia="宋体" w:cs="宋体"/>
          <w:color w:val="auto"/>
          <w:kern w:val="0"/>
          <w:szCs w:val="21"/>
          <w:highlight w:val="none"/>
        </w:rPr>
        <w:t>）</w:t>
      </w:r>
    </w:p>
    <w:p w14:paraId="7170E500">
      <w:pPr>
        <w:widowControl/>
        <w:topLinePunct/>
        <w:spacing w:line="440" w:lineRule="atLeast"/>
        <w:ind w:firstLine="2879"/>
        <w:rPr>
          <w:rFonts w:hint="eastAsia" w:ascii="宋体" w:hAnsi="宋体" w:eastAsia="宋体" w:cs="宋体"/>
          <w:color w:val="auto"/>
          <w:kern w:val="0"/>
          <w:szCs w:val="21"/>
          <w:highlight w:val="none"/>
        </w:rPr>
      </w:pPr>
    </w:p>
    <w:p w14:paraId="3689872A">
      <w:pPr>
        <w:widowControl/>
        <w:topLinePunct/>
        <w:spacing w:line="440" w:lineRule="atLeast"/>
        <w:ind w:left="1836" w:firstLine="3204"/>
        <w:jc w:val="right"/>
        <w:rPr>
          <w:rFonts w:hint="eastAsia" w:ascii="宋体" w:hAnsi="宋体" w:eastAsia="宋体" w:cs="宋体"/>
          <w:color w:val="auto"/>
          <w:kern w:val="0"/>
          <w:highlight w:val="none"/>
        </w:rPr>
      </w:pPr>
      <w:r>
        <w:rPr>
          <w:rFonts w:hint="eastAsia" w:ascii="宋体" w:hAnsi="宋体" w:eastAsia="宋体" w:cs="宋体"/>
          <w:color w:val="auto"/>
          <w:kern w:val="0"/>
          <w:szCs w:val="21"/>
          <w:highlight w:val="none"/>
        </w:rPr>
        <w:t>年  月  日</w:t>
      </w:r>
    </w:p>
    <w:p w14:paraId="292BAE9B">
      <w:pPr>
        <w:widowControl/>
        <w:topLinePunct/>
        <w:spacing w:line="440" w:lineRule="atLeast"/>
        <w:jc w:val="left"/>
        <w:rPr>
          <w:rFonts w:hint="eastAsia" w:ascii="宋体" w:hAnsi="宋体" w:eastAsia="宋体" w:cs="宋体"/>
          <w:color w:val="auto"/>
          <w:kern w:val="0"/>
          <w:highlight w:val="none"/>
        </w:rPr>
      </w:pPr>
    </w:p>
    <w:p w14:paraId="28FFA31D">
      <w:pPr>
        <w:widowControl/>
        <w:topLinePunct/>
        <w:spacing w:line="440" w:lineRule="atLeast"/>
        <w:jc w:val="left"/>
        <w:rPr>
          <w:rFonts w:hint="eastAsia" w:ascii="宋体" w:hAnsi="宋体" w:eastAsia="宋体" w:cs="宋体"/>
          <w:color w:val="auto"/>
          <w:kern w:val="0"/>
          <w:highlight w:val="none"/>
        </w:rPr>
      </w:pPr>
    </w:p>
    <w:p w14:paraId="3E4CF622">
      <w:pPr>
        <w:widowControl/>
        <w:topLinePunct/>
        <w:spacing w:line="440" w:lineRule="atLeast"/>
        <w:jc w:val="left"/>
        <w:rPr>
          <w:rFonts w:hint="eastAsia" w:ascii="宋体" w:hAnsi="宋体" w:eastAsia="宋体" w:cs="宋体"/>
          <w:color w:val="auto"/>
          <w:kern w:val="0"/>
          <w:highlight w:val="none"/>
        </w:rPr>
      </w:pPr>
    </w:p>
    <w:p w14:paraId="1E7477B1">
      <w:pPr>
        <w:widowControl/>
        <w:topLinePunct/>
        <w:spacing w:line="440" w:lineRule="atLeast"/>
        <w:jc w:val="left"/>
        <w:rPr>
          <w:rFonts w:hint="eastAsia" w:ascii="宋体" w:hAnsi="宋体" w:eastAsia="宋体" w:cs="宋体"/>
          <w:color w:val="auto"/>
          <w:kern w:val="0"/>
          <w:highlight w:val="none"/>
        </w:rPr>
      </w:pPr>
    </w:p>
    <w:p w14:paraId="7967C83F">
      <w:pPr>
        <w:widowControl/>
        <w:topLinePunct/>
        <w:spacing w:line="440" w:lineRule="atLeast"/>
        <w:jc w:val="left"/>
        <w:rPr>
          <w:rFonts w:hint="eastAsia" w:ascii="宋体" w:hAnsi="宋体" w:eastAsia="宋体" w:cs="宋体"/>
          <w:color w:val="auto"/>
          <w:sz w:val="30"/>
          <w:szCs w:val="32"/>
          <w:highlight w:val="none"/>
        </w:rPr>
      </w:pPr>
      <w:bookmarkStart w:id="1407" w:name="_Toc300678572"/>
    </w:p>
    <w:p w14:paraId="35B6701C">
      <w:pPr>
        <w:pStyle w:val="8"/>
        <w:spacing w:before="0" w:after="0" w:line="360" w:lineRule="auto"/>
        <w:jc w:val="center"/>
        <w:rPr>
          <w:rFonts w:hint="eastAsia" w:ascii="宋体" w:hAnsi="宋体" w:eastAsia="宋体" w:cs="宋体"/>
          <w:b w:val="0"/>
          <w:bCs w:val="0"/>
          <w:color w:val="auto"/>
          <w:sz w:val="30"/>
          <w:highlight w:val="none"/>
        </w:rPr>
      </w:pPr>
      <w:bookmarkStart w:id="1408" w:name="_Toc9178582"/>
      <w:r>
        <w:rPr>
          <w:rFonts w:hint="eastAsia" w:ascii="宋体" w:hAnsi="宋体" w:eastAsia="宋体" w:cs="宋体"/>
          <w:b w:val="0"/>
          <w:bCs w:val="0"/>
          <w:color w:val="auto"/>
          <w:sz w:val="30"/>
          <w:highlight w:val="none"/>
        </w:rPr>
        <w:br w:type="page"/>
      </w:r>
      <w:bookmarkStart w:id="1409" w:name="_Toc16560"/>
      <w:bookmarkStart w:id="1410" w:name="_Toc12353"/>
      <w:bookmarkStart w:id="1411" w:name="_Toc19257"/>
      <w:bookmarkStart w:id="1412" w:name="_Toc27848"/>
      <w:bookmarkStart w:id="1413" w:name="_Toc80006265"/>
      <w:bookmarkStart w:id="1414" w:name="_Toc80006155"/>
      <w:r>
        <w:rPr>
          <w:rFonts w:hint="eastAsia" w:ascii="宋体" w:hAnsi="宋体" w:eastAsia="宋体" w:cs="宋体"/>
          <w:b w:val="0"/>
          <w:bCs w:val="0"/>
          <w:color w:val="auto"/>
          <w:sz w:val="30"/>
          <w:highlight w:val="none"/>
        </w:rPr>
        <w:t>4.</w:t>
      </w:r>
      <w:bookmarkEnd w:id="1407"/>
      <w:bookmarkEnd w:id="1408"/>
      <w:r>
        <w:rPr>
          <w:rFonts w:hint="eastAsia" w:ascii="宋体" w:hAnsi="宋体" w:eastAsia="宋体" w:cs="宋体"/>
          <w:b w:val="0"/>
          <w:bCs w:val="0"/>
          <w:color w:val="auto"/>
          <w:sz w:val="30"/>
          <w:highlight w:val="none"/>
          <w:lang w:val="en-US" w:eastAsia="zh-CN"/>
        </w:rPr>
        <w:t>共同投标协议</w:t>
      </w:r>
      <w:r>
        <w:rPr>
          <w:rFonts w:hint="eastAsia" w:ascii="宋体" w:hAnsi="宋体" w:eastAsia="宋体" w:cs="宋体"/>
          <w:color w:val="auto"/>
          <w:sz w:val="24"/>
          <w:highlight w:val="none"/>
        </w:rPr>
        <w:t>（</w:t>
      </w:r>
      <w:r>
        <w:rPr>
          <w:rFonts w:hint="eastAsia" w:ascii="宋体" w:hAnsi="宋体" w:eastAsia="宋体" w:cs="宋体"/>
          <w:color w:val="auto"/>
          <w:sz w:val="24"/>
          <w:highlight w:val="none"/>
        </w:rPr>
        <w:sym w:font="Wingdings" w:char="006F"/>
      </w:r>
      <w:r>
        <w:rPr>
          <w:rFonts w:hint="eastAsia" w:ascii="宋体" w:hAnsi="宋体" w:eastAsia="宋体" w:cs="宋体"/>
          <w:color w:val="auto"/>
          <w:sz w:val="24"/>
          <w:highlight w:val="none"/>
        </w:rPr>
        <w:t>联合体投标适用）</w:t>
      </w:r>
      <w:bookmarkEnd w:id="1409"/>
      <w:bookmarkEnd w:id="1410"/>
      <w:bookmarkEnd w:id="1411"/>
      <w:bookmarkEnd w:id="1412"/>
      <w:bookmarkEnd w:id="1413"/>
      <w:bookmarkEnd w:id="1414"/>
    </w:p>
    <w:p w14:paraId="71656A94">
      <w:pP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牵头人名称：</w:t>
      </w:r>
    </w:p>
    <w:p w14:paraId="165A19DF">
      <w:pP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371A2784">
      <w:pP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法定住所：</w:t>
      </w:r>
    </w:p>
    <w:p w14:paraId="606DB61B">
      <w:pP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成员二名称：</w:t>
      </w:r>
    </w:p>
    <w:p w14:paraId="39A2C0C5">
      <w:pPr>
        <w:snapToGrid w:val="0"/>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5163BD56">
      <w:pPr>
        <w:snapToGrid w:val="0"/>
        <w:spacing w:line="36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法定住所：</w:t>
      </w:r>
    </w:p>
    <w:p w14:paraId="25C533B1">
      <w:pPr>
        <w:snapToGrid w:val="0"/>
        <w:spacing w:line="360" w:lineRule="auto"/>
        <w:ind w:firstLine="505" w:firstLineChars="25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p w14:paraId="59BC6499">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鉴于上述各成员单位经过友好协商，自愿组成联合体，共同参加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（招标人名称）（以下简称招标人）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（招标项目及标段）（以下简称本招标项目）的施工投标并争取赢得本工程施工承包合同（以下简称合同）。现就联合体投标事宜订立如下协议：</w:t>
      </w:r>
    </w:p>
    <w:p w14:paraId="1DE3210B">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（某成员单位名称）为牵头人。</w:t>
      </w:r>
    </w:p>
    <w:p w14:paraId="5F99B796">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2．在本招标项目投标阶段，联合体牵头人合法代表联合体各</w:t>
      </w:r>
      <w:r>
        <w:rPr>
          <w:rFonts w:hint="eastAsia" w:ascii="宋体" w:hAnsi="宋体" w:eastAsia="宋体" w:cs="宋体"/>
          <w:color w:val="auto"/>
          <w:szCs w:val="21"/>
          <w:highlight w:val="none"/>
          <w:lang w:val="en-US" w:eastAsia="zh-CN"/>
        </w:rPr>
        <w:t>方</w:t>
      </w:r>
      <w:r>
        <w:rPr>
          <w:rFonts w:hint="eastAsia" w:ascii="宋体" w:hAnsi="宋体" w:eastAsia="宋体" w:cs="宋体"/>
          <w:color w:val="auto"/>
          <w:szCs w:val="21"/>
          <w:highlight w:val="none"/>
        </w:rPr>
        <w:t>负责本工程投标文件编制活动，代表联合体提交和接收相关的资料、信息及指示，并处理与投标和中标有关的一切事务；联合体中标后，联合体牵头人负责合同订立和合同实施阶段的主办、组织和协调工作。</w:t>
      </w:r>
    </w:p>
    <w:p w14:paraId="576DA826">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4BCB931B">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4．联合体各</w:t>
      </w:r>
      <w:r>
        <w:rPr>
          <w:rFonts w:hint="eastAsia" w:ascii="宋体" w:hAnsi="宋体" w:eastAsia="宋体" w:cs="宋体"/>
          <w:color w:val="auto"/>
          <w:szCs w:val="21"/>
          <w:highlight w:val="none"/>
          <w:lang w:val="en-US" w:eastAsia="zh-CN"/>
        </w:rPr>
        <w:t>方</w:t>
      </w:r>
      <w:r>
        <w:rPr>
          <w:rFonts w:hint="eastAsia" w:ascii="宋体" w:hAnsi="宋体" w:eastAsia="宋体" w:cs="宋体"/>
          <w:color w:val="auto"/>
          <w:szCs w:val="21"/>
          <w:highlight w:val="none"/>
        </w:rPr>
        <w:t>单位内部的职责分工如下：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。按照本条上述分工，联合体成员单位各自所承担的合同工作量比例如下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按100%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A217142">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5．投标工作和联合体在中标后工程实施过程中的有关费用按各自承担的工作量分摊。</w:t>
      </w:r>
    </w:p>
    <w:p w14:paraId="35025863">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6．联合体中标后，本联合体协议是合同的附件，对联合体各</w:t>
      </w:r>
      <w:r>
        <w:rPr>
          <w:rFonts w:hint="eastAsia" w:ascii="宋体" w:hAnsi="宋体" w:eastAsia="宋体" w:cs="宋体"/>
          <w:color w:val="auto"/>
          <w:szCs w:val="21"/>
          <w:highlight w:val="none"/>
          <w:lang w:val="en-US" w:eastAsia="zh-CN"/>
        </w:rPr>
        <w:t>方</w:t>
      </w:r>
      <w:r>
        <w:rPr>
          <w:rFonts w:hint="eastAsia" w:ascii="宋体" w:hAnsi="宋体" w:eastAsia="宋体" w:cs="宋体"/>
          <w:color w:val="auto"/>
          <w:szCs w:val="21"/>
          <w:highlight w:val="none"/>
        </w:rPr>
        <w:t>单位有合同约束力。</w:t>
      </w:r>
    </w:p>
    <w:p w14:paraId="22A2251C">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7．本协议书自签署之日起生效，联合体未中标或者中标时合同履行完毕后自动失效。</w:t>
      </w:r>
    </w:p>
    <w:p w14:paraId="43286B0D">
      <w:pPr>
        <w:snapToGrid w:val="0"/>
        <w:spacing w:line="360" w:lineRule="auto"/>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8．本协议书一式    份，联合体成员和招标人各执   份。</w:t>
      </w:r>
    </w:p>
    <w:p w14:paraId="1CF63904">
      <w:pPr>
        <w:snapToGrid w:val="0"/>
        <w:spacing w:line="360" w:lineRule="auto"/>
        <w:ind w:firstLine="1717" w:firstLineChars="85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牵头人名称：（盖单位章）</w:t>
      </w:r>
    </w:p>
    <w:p w14:paraId="776E4CBC">
      <w:pPr>
        <w:snapToGrid w:val="0"/>
        <w:spacing w:line="360" w:lineRule="auto"/>
        <w:ind w:firstLine="1717" w:firstLineChars="8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法定代表人或其委托代理人：（签字或盖章）</w:t>
      </w:r>
    </w:p>
    <w:p w14:paraId="4562D8BE">
      <w:pPr>
        <w:snapToGrid w:val="0"/>
        <w:spacing w:line="360" w:lineRule="auto"/>
        <w:ind w:firstLine="1717" w:firstLineChars="8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成员二名称：（盖单位章）</w:t>
      </w:r>
    </w:p>
    <w:p w14:paraId="206557F4">
      <w:pPr>
        <w:snapToGrid w:val="0"/>
        <w:spacing w:line="360" w:lineRule="auto"/>
        <w:ind w:firstLine="1717" w:firstLineChars="8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法定代表人或其委托代理人：（签字或盖章）</w:t>
      </w:r>
    </w:p>
    <w:p w14:paraId="3955CA97">
      <w:pPr>
        <w:snapToGrid w:val="0"/>
        <w:spacing w:line="360" w:lineRule="auto"/>
        <w:ind w:firstLine="2020" w:firstLineChars="1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p w14:paraId="539873D3">
      <w:pPr>
        <w:snapToGrid w:val="0"/>
        <w:spacing w:line="360" w:lineRule="auto"/>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月  日</w:t>
      </w:r>
    </w:p>
    <w:p w14:paraId="08667AB3">
      <w:pPr>
        <w:spacing w:line="360" w:lineRule="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说明：本协议书由委托代理人签署的，应附法定代表人签署的授权委托书。</w:t>
      </w:r>
    </w:p>
    <w:p w14:paraId="6DB6E26B">
      <w:pPr>
        <w:pStyle w:val="8"/>
        <w:jc w:val="center"/>
        <w:rPr>
          <w:rFonts w:hint="eastAsia" w:ascii="宋体" w:hAnsi="宋体" w:eastAsia="宋体" w:cs="宋体"/>
          <w:b w:val="0"/>
          <w:bCs w:val="0"/>
          <w:color w:val="auto"/>
          <w:sz w:val="30"/>
          <w:highlight w:val="none"/>
        </w:rPr>
      </w:pPr>
      <w:bookmarkStart w:id="1415" w:name="_Toc11765"/>
      <w:bookmarkStart w:id="1416" w:name="_Toc21861"/>
      <w:bookmarkStart w:id="1417" w:name="_Toc80006156"/>
      <w:bookmarkStart w:id="1418" w:name="_Toc14746"/>
      <w:bookmarkStart w:id="1419" w:name="_Toc9178583"/>
      <w:bookmarkStart w:id="1420" w:name="_Toc80006266"/>
      <w:bookmarkStart w:id="1421" w:name="_Toc23884"/>
      <w:bookmarkStart w:id="1422" w:name="_Toc300678573"/>
      <w:r>
        <w:rPr>
          <w:rFonts w:hint="eastAsia" w:ascii="宋体" w:hAnsi="宋体" w:eastAsia="宋体" w:cs="宋体"/>
          <w:b w:val="0"/>
          <w:bCs w:val="0"/>
          <w:color w:val="auto"/>
          <w:sz w:val="30"/>
          <w:highlight w:val="none"/>
        </w:rPr>
        <w:t>5.投标保证</w:t>
      </w:r>
      <w:bookmarkEnd w:id="1415"/>
      <w:bookmarkEnd w:id="1416"/>
      <w:bookmarkEnd w:id="1417"/>
      <w:bookmarkEnd w:id="1418"/>
      <w:bookmarkEnd w:id="1419"/>
      <w:bookmarkEnd w:id="1420"/>
      <w:bookmarkEnd w:id="1421"/>
      <w:bookmarkEnd w:id="1422"/>
    </w:p>
    <w:p w14:paraId="7C78011D">
      <w:pPr>
        <w:widowControl/>
        <w:spacing w:line="400" w:lineRule="exact"/>
        <w:jc w:val="left"/>
        <w:rPr>
          <w:rFonts w:hint="eastAsia" w:ascii="宋体" w:hAnsi="宋体" w:eastAsia="宋体" w:cs="宋体"/>
          <w:color w:val="auto"/>
          <w:highlight w:val="none"/>
        </w:rPr>
      </w:pPr>
      <w:r>
        <w:rPr>
          <w:rFonts w:hint="eastAsia" w:ascii="宋体" w:hAnsi="宋体" w:eastAsia="宋体" w:cs="宋体"/>
          <w:color w:val="auto"/>
          <w:szCs w:val="21"/>
          <w:highlight w:val="none"/>
        </w:rPr>
        <w:t>采用现金的，请</w:t>
      </w:r>
      <w:r>
        <w:rPr>
          <w:rFonts w:hint="eastAsia" w:ascii="宋体" w:hAnsi="宋体" w:eastAsia="宋体" w:cs="宋体"/>
          <w:color w:val="auto"/>
          <w:highlight w:val="none"/>
        </w:rPr>
        <w:t>附投标人基本账户开户许可证复印件（或基本</w:t>
      </w:r>
      <w:r>
        <w:rPr>
          <w:rFonts w:hint="eastAsia" w:ascii="宋体" w:hAnsi="宋体" w:eastAsia="宋体" w:cs="宋体"/>
          <w:color w:val="auto"/>
          <w:highlight w:val="none"/>
          <w:lang w:eastAsia="zh-CN"/>
        </w:rPr>
        <w:t>账户</w:t>
      </w:r>
      <w:r>
        <w:rPr>
          <w:rFonts w:hint="eastAsia" w:ascii="宋体" w:hAnsi="宋体" w:eastAsia="宋体" w:cs="宋体"/>
          <w:color w:val="auto"/>
          <w:highlight w:val="none"/>
        </w:rPr>
        <w:t>开户银行打印的账户信息，包含户名、账号、基本存款账户编号等信息）以及投标保证金银行进账单复印件</w:t>
      </w:r>
    </w:p>
    <w:p w14:paraId="222FCEA9">
      <w:pPr>
        <w:widowControl/>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采用保函的，附投标保函复印件（格式附后）</w:t>
      </w:r>
    </w:p>
    <w:p w14:paraId="3493A8C2">
      <w:pPr>
        <w:widowControl/>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采用保证保险，请附投标保证保险复印件（格式附后）</w:t>
      </w:r>
    </w:p>
    <w:p w14:paraId="4A317D67">
      <w:pPr>
        <w:widowControl/>
        <w:spacing w:line="40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采用承诺的，附投标承诺复印件（格式附后）</w:t>
      </w:r>
    </w:p>
    <w:p w14:paraId="3E13B4D6">
      <w:pPr>
        <w:jc w:val="center"/>
        <w:rPr>
          <w:rFonts w:hint="eastAsia" w:ascii="宋体" w:hAnsi="宋体" w:eastAsia="宋体" w:cs="宋体"/>
          <w:color w:val="auto"/>
          <w:sz w:val="30"/>
          <w:szCs w:val="30"/>
          <w:highlight w:val="none"/>
        </w:rPr>
      </w:pPr>
    </w:p>
    <w:p w14:paraId="02DFCCA0">
      <w:pPr>
        <w:jc w:val="center"/>
        <w:rPr>
          <w:rFonts w:hint="eastAsia" w:ascii="宋体" w:hAnsi="宋体" w:eastAsia="宋体" w:cs="宋体"/>
          <w:color w:val="auto"/>
          <w:sz w:val="30"/>
          <w:szCs w:val="30"/>
          <w:highlight w:val="none"/>
        </w:rPr>
      </w:pPr>
      <w:bookmarkStart w:id="1423" w:name="_Toc28165"/>
      <w:r>
        <w:rPr>
          <w:rFonts w:hint="eastAsia" w:ascii="宋体" w:hAnsi="宋体" w:eastAsia="宋体" w:cs="宋体"/>
          <w:color w:val="auto"/>
          <w:sz w:val="30"/>
          <w:szCs w:val="30"/>
          <w:highlight w:val="none"/>
        </w:rPr>
        <w:t>投标保函</w:t>
      </w:r>
      <w:bookmarkEnd w:id="1423"/>
    </w:p>
    <w:p w14:paraId="2F3A165B">
      <w:pPr>
        <w:spacing w:line="480" w:lineRule="exact"/>
        <w:rPr>
          <w:rFonts w:hint="eastAsia" w:ascii="宋体" w:hAnsi="宋体" w:eastAsia="宋体" w:cs="宋体"/>
          <w:color w:val="auto"/>
          <w:szCs w:val="32"/>
          <w:highlight w:val="none"/>
        </w:rPr>
      </w:pPr>
      <w:r>
        <w:rPr>
          <w:rFonts w:hint="eastAsia" w:ascii="宋体" w:hAnsi="宋体" w:eastAsia="宋体" w:cs="宋体"/>
          <w:color w:val="auto"/>
          <w:szCs w:val="32"/>
          <w:highlight w:val="none"/>
          <w:u w:val="single"/>
        </w:rPr>
        <w:t xml:space="preserve">                （受益人名称）</w:t>
      </w:r>
      <w:r>
        <w:rPr>
          <w:rFonts w:hint="eastAsia" w:ascii="宋体" w:hAnsi="宋体" w:eastAsia="宋体" w:cs="宋体"/>
          <w:color w:val="auto"/>
          <w:szCs w:val="32"/>
          <w:highlight w:val="none"/>
        </w:rPr>
        <w:t>：</w:t>
      </w:r>
    </w:p>
    <w:p w14:paraId="258EE5FB">
      <w:pPr>
        <w:spacing w:line="480" w:lineRule="exact"/>
        <w:ind w:firstLine="202" w:firstLineChars="100"/>
        <w:rPr>
          <w:rFonts w:hint="eastAsia" w:ascii="宋体" w:hAnsi="宋体" w:eastAsia="宋体" w:cs="宋体"/>
          <w:color w:val="auto"/>
          <w:szCs w:val="32"/>
          <w:highlight w:val="none"/>
        </w:rPr>
      </w:pPr>
      <w:r>
        <w:rPr>
          <w:rFonts w:hint="eastAsia" w:ascii="宋体" w:hAnsi="宋体" w:eastAsia="宋体" w:cs="宋体"/>
          <w:color w:val="auto"/>
          <w:szCs w:val="32"/>
          <w:highlight w:val="none"/>
        </w:rPr>
        <w:t>鉴于</w:t>
      </w:r>
      <w:r>
        <w:rPr>
          <w:rFonts w:hint="eastAsia" w:ascii="宋体" w:hAnsi="宋体" w:eastAsia="宋体" w:cs="宋体"/>
          <w:color w:val="auto"/>
          <w:szCs w:val="32"/>
          <w:highlight w:val="none"/>
          <w:u w:val="single"/>
        </w:rPr>
        <w:t xml:space="preserve">                （投标人名称，以下称“投标人”）</w:t>
      </w:r>
      <w:r>
        <w:rPr>
          <w:rFonts w:hint="eastAsia" w:ascii="宋体" w:hAnsi="宋体" w:eastAsia="宋体" w:cs="宋体"/>
          <w:color w:val="auto"/>
          <w:szCs w:val="32"/>
          <w:highlight w:val="none"/>
        </w:rPr>
        <w:t>于_____年___月___日参加你方作为招标人组织的</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（招标项目及标段）的施工招标投标，我方愿意无条件地、不可撤销就投标人履行</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项目招标文件规定的投标义务，向你方出具见索即付独立保函：</w:t>
      </w:r>
    </w:p>
    <w:p w14:paraId="403F8E58">
      <w:pPr>
        <w:spacing w:line="480" w:lineRule="exact"/>
        <w:ind w:firstLine="404"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1．本保函最高担保金额人民币（大写）</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元（¥</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 。</w:t>
      </w:r>
    </w:p>
    <w:p w14:paraId="6243E45C">
      <w:pPr>
        <w:spacing w:line="480" w:lineRule="exact"/>
        <w:ind w:firstLine="404"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2．保函有效期自______年____月_____日至______年____月_____日止。</w:t>
      </w:r>
    </w:p>
    <w:p w14:paraId="0FEFED5C">
      <w:pPr>
        <w:spacing w:line="480" w:lineRule="exact"/>
        <w:ind w:firstLine="404"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rPr>
        <w:t>3．在本保函有效期内，</w:t>
      </w:r>
      <w:r>
        <w:rPr>
          <w:rFonts w:hint="eastAsia" w:ascii="宋体" w:hAnsi="宋体" w:eastAsia="宋体" w:cs="宋体"/>
          <w:color w:val="auto"/>
          <w:szCs w:val="32"/>
          <w:highlight w:val="none"/>
          <w:shd w:val="clear" w:color="auto" w:fill="FFFFFF"/>
        </w:rPr>
        <w:t>投标人存在下列未履行相关投标义务情形之一的，</w:t>
      </w:r>
      <w:r>
        <w:rPr>
          <w:rFonts w:hint="eastAsia" w:ascii="宋体" w:hAnsi="宋体" w:eastAsia="宋体" w:cs="宋体"/>
          <w:color w:val="auto"/>
          <w:szCs w:val="32"/>
          <w:highlight w:val="none"/>
        </w:rPr>
        <w:t>我方在收到你方提出的书面</w:t>
      </w:r>
      <w:r>
        <w:rPr>
          <w:rFonts w:hint="eastAsia" w:ascii="宋体" w:hAnsi="宋体" w:eastAsia="宋体" w:cs="宋体"/>
          <w:color w:val="auto"/>
          <w:szCs w:val="32"/>
          <w:highlight w:val="none"/>
          <w:shd w:val="clear" w:color="auto" w:fill="FFFFFF"/>
        </w:rPr>
        <w:t>索赔通知以及本保函原件后，在10个工作日内支付累计总额不超过本保函第1款约定的经济补偿金。</w:t>
      </w:r>
    </w:p>
    <w:p w14:paraId="77F1AD04">
      <w:pPr>
        <w:spacing w:line="480" w:lineRule="exact"/>
        <w:ind w:firstLine="404"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shd w:val="clear" w:color="auto" w:fill="FFFFFF"/>
        </w:rPr>
        <w:t>（1）投标人拒绝按照招标文件、投标文件或中标通知书要求与你方签订合同；</w:t>
      </w:r>
    </w:p>
    <w:p w14:paraId="11A3F760">
      <w:pPr>
        <w:spacing w:line="480" w:lineRule="exact"/>
        <w:ind w:firstLine="404"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shd w:val="clear" w:color="auto" w:fill="FFFFFF"/>
        </w:rPr>
        <w:t>（2）投标截止后，投标人要求修改、补充或撤销投标文件的实质性内容或者要求更改招标文件和中标通知书的实质性内容；</w:t>
      </w:r>
    </w:p>
    <w:p w14:paraId="489F3AEA">
      <w:pPr>
        <w:spacing w:line="480" w:lineRule="exact"/>
        <w:ind w:firstLine="404"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shd w:val="clear" w:color="auto" w:fill="FFFFFF"/>
        </w:rPr>
        <w:t>（3）投标人拒绝按招标文件规定的时间、金额、形式提交履约担保;</w:t>
      </w:r>
      <w:r>
        <w:rPr>
          <w:rFonts w:hint="eastAsia" w:ascii="宋体" w:hAnsi="宋体" w:eastAsia="宋体" w:cs="宋体"/>
          <w:color w:val="auto"/>
          <w:szCs w:val="32"/>
          <w:highlight w:val="none"/>
          <w:shd w:val="clear" w:color="auto" w:fill="FFFFFF"/>
        </w:rPr>
        <w:tab/>
      </w:r>
      <w:r>
        <w:rPr>
          <w:rFonts w:hint="eastAsia" w:ascii="宋体" w:hAnsi="宋体" w:eastAsia="宋体" w:cs="宋体"/>
          <w:color w:val="auto"/>
          <w:szCs w:val="32"/>
          <w:highlight w:val="none"/>
          <w:shd w:val="clear" w:color="auto" w:fill="FFFFFF"/>
        </w:rPr>
        <w:tab/>
      </w:r>
    </w:p>
    <w:p w14:paraId="1D0752D9">
      <w:pPr>
        <w:tabs>
          <w:tab w:val="left" w:pos="2184"/>
        </w:tabs>
        <w:spacing w:line="480" w:lineRule="exact"/>
        <w:ind w:firstLine="615"/>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shd w:val="clear" w:color="auto" w:fill="FFFFFF"/>
        </w:rPr>
        <w:t xml:space="preserve"> (4) 投标人在投标截止后撤销投标文件，但招标文件未载明投标人在投标截止后撤销投标文件，应当由保函开立人支付经济补偿金的除外。</w:t>
      </w:r>
    </w:p>
    <w:p w14:paraId="718B0E08">
      <w:pPr>
        <w:spacing w:line="480" w:lineRule="exact"/>
        <w:ind w:firstLine="404" w:firstLineChars="200"/>
        <w:jc w:val="left"/>
        <w:rPr>
          <w:rFonts w:hint="eastAsia" w:ascii="宋体" w:hAnsi="宋体" w:eastAsia="宋体" w:cs="宋体"/>
          <w:color w:val="auto"/>
          <w:szCs w:val="32"/>
          <w:highlight w:val="none"/>
        </w:rPr>
      </w:pPr>
      <w:r>
        <w:rPr>
          <w:rFonts w:hint="eastAsia" w:ascii="宋体" w:hAnsi="宋体" w:eastAsia="宋体" w:cs="宋体"/>
          <w:color w:val="auto"/>
          <w:szCs w:val="32"/>
          <w:highlight w:val="none"/>
          <w:shd w:val="clear" w:color="auto" w:fill="FFFFFF"/>
        </w:rPr>
        <w:t>4．你方的索赔通知，应当符合下列要求：</w:t>
      </w:r>
    </w:p>
    <w:p w14:paraId="2A04B7FB">
      <w:pPr>
        <w:spacing w:line="480" w:lineRule="exact"/>
        <w:ind w:firstLine="404"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（1）索赔通知应当列明索赔金额，由你方加盖单位公章和法定代表人印章；</w:t>
      </w:r>
    </w:p>
    <w:p w14:paraId="6D08395D">
      <w:pPr>
        <w:spacing w:line="480" w:lineRule="exact"/>
        <w:ind w:firstLine="404"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（2）提交索赔通知的同时出具一份书面申明，申明索赔款项并未由中标人或其委托代理人直接或间接地支付给你方；</w:t>
      </w:r>
    </w:p>
    <w:p w14:paraId="1A1C75C9">
      <w:pPr>
        <w:spacing w:line="480" w:lineRule="exact"/>
        <w:ind w:firstLine="404" w:firstLineChars="200"/>
        <w:rPr>
          <w:rFonts w:hint="eastAsia" w:ascii="宋体" w:hAnsi="宋体" w:eastAsia="宋体" w:cs="宋体"/>
          <w:color w:val="auto"/>
          <w:szCs w:val="32"/>
          <w:highlight w:val="none"/>
          <w:shd w:val="clear" w:color="auto" w:fill="FFFFFF"/>
        </w:rPr>
      </w:pPr>
      <w:r>
        <w:rPr>
          <w:rFonts w:hint="eastAsia" w:ascii="宋体" w:hAnsi="宋体" w:eastAsia="宋体" w:cs="宋体"/>
          <w:color w:val="auto"/>
          <w:szCs w:val="32"/>
          <w:highlight w:val="none"/>
        </w:rPr>
        <w:t>（3）索赔通知书必须在本保函有效期内邮寄或送达以下地址：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w:t>
      </w:r>
    </w:p>
    <w:p w14:paraId="3412E42A">
      <w:pPr>
        <w:spacing w:line="480" w:lineRule="exact"/>
        <w:ind w:firstLine="404" w:firstLineChars="200"/>
        <w:rPr>
          <w:rFonts w:hint="eastAsia" w:ascii="宋体" w:hAnsi="宋体" w:eastAsia="宋体" w:cs="宋体"/>
          <w:color w:val="auto"/>
          <w:szCs w:val="32"/>
          <w:highlight w:val="none"/>
        </w:rPr>
      </w:pPr>
      <w:r>
        <w:rPr>
          <w:rFonts w:hint="eastAsia" w:ascii="宋体" w:hAnsi="宋体" w:eastAsia="宋体" w:cs="宋体"/>
          <w:color w:val="auto"/>
          <w:szCs w:val="32"/>
          <w:highlight w:val="none"/>
        </w:rPr>
        <w:t>5．本保函有效期届满，无论是否将保函原件退回我方，本保函自行失效。我方在本保函</w:t>
      </w:r>
      <w:r>
        <w:rPr>
          <w:rFonts w:hint="eastAsia" w:ascii="宋体" w:hAnsi="宋体" w:eastAsia="宋体" w:cs="宋体"/>
          <w:strike/>
          <w:color w:val="auto"/>
          <w:szCs w:val="32"/>
          <w:highlight w:val="none"/>
        </w:rPr>
        <w:t>（</w:t>
      </w:r>
      <w:r>
        <w:rPr>
          <w:rFonts w:hint="eastAsia" w:ascii="宋体" w:hAnsi="宋体" w:eastAsia="宋体" w:cs="宋体"/>
          <w:color w:val="auto"/>
          <w:szCs w:val="32"/>
          <w:highlight w:val="none"/>
        </w:rPr>
        <w:t>项下的保证责任解除，此后提出的要求我方履行担保责任的主张无效。</w:t>
      </w:r>
    </w:p>
    <w:p w14:paraId="526FB93F">
      <w:pPr>
        <w:spacing w:line="480" w:lineRule="exact"/>
        <w:ind w:firstLine="2018" w:firstLineChars="999"/>
        <w:rPr>
          <w:rFonts w:hint="eastAsia" w:ascii="宋体" w:hAnsi="宋体" w:eastAsia="宋体" w:cs="宋体"/>
          <w:color w:val="auto"/>
          <w:szCs w:val="32"/>
          <w:highlight w:val="none"/>
        </w:rPr>
      </w:pPr>
      <w:r>
        <w:rPr>
          <w:rFonts w:hint="eastAsia" w:ascii="宋体" w:hAnsi="宋体" w:eastAsia="宋体" w:cs="宋体"/>
          <w:color w:val="auto"/>
          <w:szCs w:val="32"/>
          <w:highlight w:val="none"/>
        </w:rPr>
        <w:t>开立人：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（盖章） </w:t>
      </w:r>
    </w:p>
    <w:p w14:paraId="4BE71B23">
      <w:pPr>
        <w:spacing w:line="480" w:lineRule="exact"/>
        <w:ind w:firstLine="2014" w:firstLineChars="997"/>
        <w:rPr>
          <w:rFonts w:hint="eastAsia" w:ascii="宋体" w:hAnsi="宋体" w:eastAsia="宋体" w:cs="宋体"/>
          <w:color w:val="auto"/>
          <w:szCs w:val="32"/>
          <w:highlight w:val="none"/>
        </w:rPr>
      </w:pPr>
      <w:r>
        <w:rPr>
          <w:rFonts w:hint="eastAsia" w:ascii="宋体" w:hAnsi="宋体" w:eastAsia="宋体" w:cs="宋体"/>
          <w:color w:val="auto"/>
          <w:szCs w:val="32"/>
          <w:highlight w:val="none"/>
        </w:rPr>
        <w:t>法定代表人（负责人）：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（签字或盖章）</w:t>
      </w:r>
    </w:p>
    <w:p w14:paraId="7379053F">
      <w:pPr>
        <w:spacing w:line="480" w:lineRule="exact"/>
        <w:ind w:firstLine="2018" w:firstLineChars="999"/>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地址：</w:t>
      </w:r>
      <w:r>
        <w:rPr>
          <w:rFonts w:hint="eastAsia" w:ascii="宋体" w:hAnsi="宋体" w:eastAsia="宋体" w:cs="宋体"/>
          <w:color w:val="auto"/>
          <w:szCs w:val="32"/>
          <w:highlight w:val="none"/>
          <w:u w:val="single"/>
        </w:rPr>
        <w:t xml:space="preserve">                              </w:t>
      </w:r>
    </w:p>
    <w:p w14:paraId="2CBCC265">
      <w:pPr>
        <w:spacing w:line="480" w:lineRule="exact"/>
        <w:ind w:firstLine="2018" w:firstLineChars="999"/>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电话：</w:t>
      </w:r>
      <w:r>
        <w:rPr>
          <w:rFonts w:hint="eastAsia" w:ascii="宋体" w:hAnsi="宋体" w:eastAsia="宋体" w:cs="宋体"/>
          <w:color w:val="auto"/>
          <w:szCs w:val="32"/>
          <w:highlight w:val="none"/>
          <w:u w:val="single"/>
        </w:rPr>
        <w:t xml:space="preserve">                     </w:t>
      </w:r>
    </w:p>
    <w:p w14:paraId="14C5A3A6">
      <w:pPr>
        <w:spacing w:line="480" w:lineRule="exact"/>
        <w:ind w:firstLine="2018" w:firstLineChars="999"/>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传真：</w:t>
      </w:r>
      <w:r>
        <w:rPr>
          <w:rFonts w:hint="eastAsia" w:ascii="宋体" w:hAnsi="宋体" w:eastAsia="宋体" w:cs="宋体"/>
          <w:color w:val="auto"/>
          <w:szCs w:val="32"/>
          <w:highlight w:val="none"/>
          <w:u w:val="single"/>
        </w:rPr>
        <w:t xml:space="preserve">            </w:t>
      </w:r>
    </w:p>
    <w:p w14:paraId="7E311C85">
      <w:pPr>
        <w:spacing w:line="480" w:lineRule="exact"/>
        <w:ind w:firstLine="3434" w:firstLineChars="1700"/>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年</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月</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日</w:t>
      </w:r>
    </w:p>
    <w:p w14:paraId="5CB44D41">
      <w:pPr>
        <w:spacing w:line="480" w:lineRule="exact"/>
        <w:ind w:firstLine="3430"/>
        <w:rPr>
          <w:rFonts w:hint="eastAsia" w:ascii="宋体" w:hAnsi="宋体" w:eastAsia="宋体" w:cs="宋体"/>
          <w:color w:val="auto"/>
          <w:szCs w:val="32"/>
          <w:highlight w:val="none"/>
        </w:rPr>
      </w:pPr>
    </w:p>
    <w:p w14:paraId="34866089">
      <w:pPr>
        <w:spacing w:line="480" w:lineRule="exact"/>
        <w:ind w:firstLine="3430"/>
        <w:rPr>
          <w:rFonts w:hint="eastAsia" w:ascii="宋体" w:hAnsi="宋体" w:eastAsia="宋体" w:cs="宋体"/>
          <w:color w:val="auto"/>
          <w:szCs w:val="32"/>
          <w:highlight w:val="none"/>
        </w:rPr>
      </w:pPr>
    </w:p>
    <w:p w14:paraId="251C1F9F">
      <w:pPr>
        <w:spacing w:line="480" w:lineRule="exact"/>
        <w:ind w:firstLine="3430"/>
        <w:rPr>
          <w:rFonts w:hint="eastAsia" w:ascii="宋体" w:hAnsi="宋体" w:eastAsia="宋体" w:cs="宋体"/>
          <w:color w:val="auto"/>
          <w:szCs w:val="32"/>
          <w:highlight w:val="none"/>
        </w:rPr>
      </w:pPr>
    </w:p>
    <w:p w14:paraId="65E02F44">
      <w:pPr>
        <w:spacing w:line="480" w:lineRule="exact"/>
        <w:ind w:firstLine="3430"/>
        <w:rPr>
          <w:rFonts w:hint="eastAsia" w:ascii="宋体" w:hAnsi="宋体" w:eastAsia="宋体" w:cs="宋体"/>
          <w:color w:val="auto"/>
          <w:szCs w:val="32"/>
          <w:highlight w:val="none"/>
        </w:rPr>
      </w:pPr>
    </w:p>
    <w:p w14:paraId="758A73F8">
      <w:pPr>
        <w:spacing w:line="480" w:lineRule="exact"/>
        <w:ind w:firstLine="3430"/>
        <w:rPr>
          <w:rFonts w:hint="eastAsia" w:ascii="宋体" w:hAnsi="宋体" w:eastAsia="宋体" w:cs="宋体"/>
          <w:color w:val="auto"/>
          <w:szCs w:val="32"/>
          <w:highlight w:val="none"/>
        </w:rPr>
      </w:pPr>
    </w:p>
    <w:p w14:paraId="6474B0CB">
      <w:pPr>
        <w:spacing w:line="480" w:lineRule="exact"/>
        <w:ind w:firstLine="3430"/>
        <w:rPr>
          <w:rFonts w:hint="eastAsia" w:ascii="宋体" w:hAnsi="宋体" w:eastAsia="宋体" w:cs="宋体"/>
          <w:color w:val="auto"/>
          <w:szCs w:val="32"/>
          <w:highlight w:val="none"/>
        </w:rPr>
      </w:pPr>
    </w:p>
    <w:p w14:paraId="08B38A67">
      <w:pPr>
        <w:spacing w:line="480" w:lineRule="exact"/>
        <w:ind w:firstLine="3430"/>
        <w:rPr>
          <w:rFonts w:hint="eastAsia" w:ascii="宋体" w:hAnsi="宋体" w:eastAsia="宋体" w:cs="宋体"/>
          <w:color w:val="auto"/>
          <w:szCs w:val="32"/>
          <w:highlight w:val="none"/>
        </w:rPr>
      </w:pPr>
    </w:p>
    <w:p w14:paraId="11A751E7">
      <w:pPr>
        <w:spacing w:line="480" w:lineRule="exact"/>
        <w:ind w:firstLine="3430"/>
        <w:rPr>
          <w:rFonts w:hint="eastAsia" w:ascii="宋体" w:hAnsi="宋体" w:eastAsia="宋体" w:cs="宋体"/>
          <w:color w:val="auto"/>
          <w:szCs w:val="32"/>
          <w:highlight w:val="none"/>
        </w:rPr>
      </w:pPr>
    </w:p>
    <w:p w14:paraId="34B01742">
      <w:pPr>
        <w:spacing w:line="480" w:lineRule="exact"/>
        <w:ind w:firstLine="3430"/>
        <w:rPr>
          <w:rFonts w:hint="eastAsia" w:ascii="宋体" w:hAnsi="宋体" w:eastAsia="宋体" w:cs="宋体"/>
          <w:color w:val="auto"/>
          <w:szCs w:val="32"/>
          <w:highlight w:val="none"/>
        </w:rPr>
      </w:pPr>
    </w:p>
    <w:p w14:paraId="3C135A4E">
      <w:pPr>
        <w:spacing w:line="480" w:lineRule="exact"/>
        <w:ind w:firstLine="3430"/>
        <w:rPr>
          <w:rFonts w:hint="eastAsia" w:ascii="宋体" w:hAnsi="宋体" w:eastAsia="宋体" w:cs="宋体"/>
          <w:color w:val="auto"/>
          <w:szCs w:val="32"/>
          <w:highlight w:val="none"/>
        </w:rPr>
      </w:pPr>
    </w:p>
    <w:p w14:paraId="2BC8B14A">
      <w:pPr>
        <w:spacing w:line="480" w:lineRule="exact"/>
        <w:ind w:firstLine="3430"/>
        <w:rPr>
          <w:rFonts w:hint="eastAsia" w:ascii="宋体" w:hAnsi="宋体" w:eastAsia="宋体" w:cs="宋体"/>
          <w:color w:val="auto"/>
          <w:szCs w:val="32"/>
          <w:highlight w:val="none"/>
        </w:rPr>
      </w:pPr>
    </w:p>
    <w:p w14:paraId="64620834">
      <w:pPr>
        <w:spacing w:line="480" w:lineRule="exact"/>
        <w:ind w:firstLine="3430"/>
        <w:rPr>
          <w:rFonts w:hint="eastAsia" w:ascii="宋体" w:hAnsi="宋体" w:eastAsia="宋体" w:cs="宋体"/>
          <w:color w:val="auto"/>
          <w:szCs w:val="32"/>
          <w:highlight w:val="none"/>
        </w:rPr>
      </w:pPr>
    </w:p>
    <w:p w14:paraId="0EE919ED">
      <w:pPr>
        <w:spacing w:line="480" w:lineRule="exact"/>
        <w:ind w:firstLine="3430"/>
        <w:rPr>
          <w:rFonts w:hint="eastAsia" w:ascii="宋体" w:hAnsi="宋体" w:eastAsia="宋体" w:cs="宋体"/>
          <w:color w:val="auto"/>
          <w:szCs w:val="32"/>
          <w:highlight w:val="none"/>
        </w:rPr>
      </w:pPr>
    </w:p>
    <w:p w14:paraId="79FC62AE">
      <w:pPr>
        <w:spacing w:line="480" w:lineRule="exact"/>
        <w:ind w:firstLine="3430"/>
        <w:rPr>
          <w:rFonts w:hint="eastAsia" w:ascii="宋体" w:hAnsi="宋体" w:eastAsia="宋体" w:cs="宋体"/>
          <w:color w:val="auto"/>
          <w:szCs w:val="32"/>
          <w:highlight w:val="none"/>
        </w:rPr>
      </w:pPr>
    </w:p>
    <w:p w14:paraId="47608302">
      <w:pPr>
        <w:spacing w:line="480" w:lineRule="exact"/>
        <w:rPr>
          <w:rFonts w:hint="eastAsia" w:ascii="宋体" w:hAnsi="宋体" w:eastAsia="宋体" w:cs="宋体"/>
          <w:color w:val="auto"/>
          <w:szCs w:val="32"/>
          <w:highlight w:val="none"/>
        </w:rPr>
        <w:sectPr>
          <w:pgSz w:w="11906" w:h="16838"/>
          <w:pgMar w:top="1440" w:right="1440" w:bottom="1440" w:left="1440" w:header="1134" w:footer="851" w:gutter="0"/>
          <w:cols w:space="720" w:num="1"/>
          <w:docGrid w:type="linesAndChars" w:linePitch="574" w:charSpace="-1683"/>
        </w:sectPr>
      </w:pPr>
      <w:r>
        <w:rPr>
          <w:rFonts w:hint="eastAsia" w:ascii="宋体" w:hAnsi="宋体" w:eastAsia="宋体" w:cs="宋体"/>
          <w:color w:val="auto"/>
          <w:szCs w:val="32"/>
          <w:highlight w:val="none"/>
        </w:rPr>
        <w:t>说明：保函开立人可以根据项目具体情况</w:t>
      </w:r>
      <w:r>
        <w:rPr>
          <w:rFonts w:hint="eastAsia" w:ascii="宋体" w:hAnsi="宋体" w:eastAsia="宋体" w:cs="宋体"/>
          <w:color w:val="auto"/>
          <w:szCs w:val="32"/>
          <w:highlight w:val="none"/>
          <w:lang w:val="en-US" w:eastAsia="zh-CN"/>
        </w:rPr>
        <w:t>调整</w:t>
      </w:r>
      <w:r>
        <w:rPr>
          <w:rFonts w:hint="eastAsia" w:ascii="宋体" w:hAnsi="宋体" w:eastAsia="宋体" w:cs="宋体"/>
          <w:color w:val="auto"/>
          <w:szCs w:val="32"/>
          <w:highlight w:val="none"/>
        </w:rPr>
        <w:t>相关条款，但不得违背招标文件的实质性内容，以及相关法律法规的规定。</w:t>
      </w:r>
    </w:p>
    <w:p w14:paraId="6C9E75E3">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建设工程投标保证保险</w:t>
      </w:r>
    </w:p>
    <w:p w14:paraId="35CFA42F">
      <w:pPr>
        <w:pStyle w:val="143"/>
        <w:snapToGrid w:val="0"/>
        <w:spacing w:after="0" w:line="3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（招标人名称）</w:t>
      </w:r>
      <w:r>
        <w:rPr>
          <w:rFonts w:hint="eastAsia" w:ascii="宋体" w:hAnsi="宋体" w:eastAsia="宋体" w:cs="宋体"/>
          <w:color w:val="auto"/>
          <w:sz w:val="21"/>
          <w:szCs w:val="21"/>
          <w:highlight w:val="none"/>
        </w:rPr>
        <w:t xml:space="preserve">： </w:t>
      </w:r>
    </w:p>
    <w:p w14:paraId="1BED7281">
      <w:pPr>
        <w:pStyle w:val="143"/>
        <w:snapToGrid w:val="0"/>
        <w:spacing w:after="0" w:line="380" w:lineRule="exact"/>
        <w:ind w:firstLine="404"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鉴于</w:t>
      </w:r>
      <w:r>
        <w:rPr>
          <w:rFonts w:hint="eastAsia" w:ascii="宋体" w:hAnsi="宋体" w:eastAsia="宋体" w:cs="宋体"/>
          <w:color w:val="auto"/>
          <w:sz w:val="21"/>
          <w:szCs w:val="21"/>
          <w:highlight w:val="none"/>
          <w:u w:val="single" w:color="000000"/>
        </w:rPr>
        <w:t xml:space="preserve">     投标人名称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（以下简称“投标人”）于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月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日参加你方组织的</w:t>
      </w:r>
      <w:r>
        <w:rPr>
          <w:rFonts w:hint="eastAsia" w:ascii="宋体" w:hAnsi="宋体" w:eastAsia="宋体" w:cs="宋体"/>
          <w:color w:val="auto"/>
          <w:sz w:val="21"/>
          <w:szCs w:val="21"/>
          <w:highlight w:val="none"/>
          <w:u w:val="single"/>
        </w:rPr>
        <w:t xml:space="preserve">             招标项目及标段   </w:t>
      </w:r>
      <w:r>
        <w:rPr>
          <w:rFonts w:hint="eastAsia" w:ascii="宋体" w:hAnsi="宋体" w:eastAsia="宋体" w:cs="宋体"/>
          <w:color w:val="auto"/>
          <w:sz w:val="21"/>
          <w:szCs w:val="21"/>
          <w:highlight w:val="none"/>
        </w:rPr>
        <w:t>施工的招标投标，并向我方投保建设工程投标保证保险（保险单号：              ）。我方愿就投标人履行招标文件规定的投标义务，向贵方提供如下保证保险：</w:t>
      </w:r>
    </w:p>
    <w:p w14:paraId="51DDAC35">
      <w:pPr>
        <w:widowControl/>
        <w:snapToGrid w:val="0"/>
        <w:spacing w:line="380" w:lineRule="exact"/>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一、保证保险金额</w:t>
      </w:r>
    </w:p>
    <w:p w14:paraId="285099C3">
      <w:pPr>
        <w:widowControl/>
        <w:snapToGrid w:val="0"/>
        <w:spacing w:line="380" w:lineRule="exact"/>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我方保证保险的保险金额（最高限额）为人民币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bCs/>
          <w:color w:val="auto"/>
          <w:szCs w:val="21"/>
          <w:highlight w:val="none"/>
        </w:rPr>
        <w:t>（大写）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32"/>
          <w:highlight w:val="none"/>
        </w:rPr>
        <w:t>（¥</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hint="eastAsia" w:ascii="宋体" w:hAnsi="宋体" w:eastAsia="宋体" w:cs="宋体"/>
          <w:color w:val="auto"/>
          <w:szCs w:val="21"/>
          <w:highlight w:val="none"/>
        </w:rPr>
        <w:t>。</w:t>
      </w:r>
    </w:p>
    <w:p w14:paraId="6E61847B">
      <w:pPr>
        <w:widowControl/>
        <w:snapToGrid w:val="0"/>
        <w:spacing w:line="380" w:lineRule="exact"/>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二、保证保险的责任范围</w:t>
      </w:r>
    </w:p>
    <w:p w14:paraId="12D75F99">
      <w:pPr>
        <w:widowControl/>
        <w:snapToGrid w:val="0"/>
        <w:spacing w:line="380" w:lineRule="exact"/>
        <w:ind w:firstLine="404"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我方在投标人发生以下情形之一时，承担保险责任：</w:t>
      </w:r>
    </w:p>
    <w:p w14:paraId="793E9B99">
      <w:pPr>
        <w:pStyle w:val="143"/>
        <w:snapToGrid w:val="0"/>
        <w:spacing w:after="0" w:line="380" w:lineRule="exact"/>
        <w:ind w:firstLine="404"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1、投标截止后投标人违反招标文件的规定修改、补充或撤销投标文件的实质性内容或者要求更改招标文件和中标通知书的实质性内容；</w:t>
      </w:r>
    </w:p>
    <w:p w14:paraId="51287332">
      <w:pPr>
        <w:pStyle w:val="143"/>
        <w:snapToGrid w:val="0"/>
        <w:spacing w:after="0" w:line="380" w:lineRule="exact"/>
        <w:ind w:firstLine="404"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2、投标人中标后未按招标文件或中标通知书的要求签署合同；</w:t>
      </w:r>
    </w:p>
    <w:p w14:paraId="76EBB12A">
      <w:pPr>
        <w:pStyle w:val="143"/>
        <w:snapToGrid w:val="0"/>
        <w:spacing w:after="0" w:line="380" w:lineRule="exact"/>
        <w:ind w:firstLine="404"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3、《建设工程招标文件》规定的其他有关投标实质性违约情形。</w:t>
      </w:r>
    </w:p>
    <w:p w14:paraId="1FE110D8">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三、代偿的安排</w:t>
      </w:r>
    </w:p>
    <w:p w14:paraId="4345A831">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贵方要求我方承担保证保险责任的，应向我方发出书面索赔通知。索赔通知应写明要求索赔的金额，支付款项应到达的帐号，并附有说明投标人违约造成贵方损失情况的证明材料。</w:t>
      </w:r>
    </w:p>
    <w:p w14:paraId="5C4113AC">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我方收到贵方的书面索赔通知及相应证明材料后，在</w:t>
      </w:r>
      <w:r>
        <w:rPr>
          <w:rFonts w:hint="eastAsia" w:ascii="宋体" w:hAnsi="宋体" w:eastAsia="宋体" w:cs="宋体"/>
          <w:color w:val="auto"/>
          <w:szCs w:val="21"/>
          <w:highlight w:val="none"/>
          <w:u w:val="single"/>
        </w:rPr>
        <w:t>10</w:t>
      </w:r>
      <w:r>
        <w:rPr>
          <w:rFonts w:hint="eastAsia" w:ascii="宋体" w:hAnsi="宋体" w:eastAsia="宋体" w:cs="宋体"/>
          <w:color w:val="auto"/>
          <w:szCs w:val="21"/>
          <w:highlight w:val="none"/>
        </w:rPr>
        <w:t>个工作日内进行核定后，按照保险合同的约定承担保证保险责任。</w:t>
      </w:r>
    </w:p>
    <w:p w14:paraId="06CA66F0">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四、保单凭证的生效</w:t>
      </w:r>
    </w:p>
    <w:p w14:paraId="2D398C9B">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本保单凭证自我方加盖保单专用章并交付贵方之日起生效。</w:t>
      </w:r>
    </w:p>
    <w:p w14:paraId="4C495F17">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本保险在投标有效期到期后30日（含）内或被保险人延长投标有效期后的到期日后30日（含）内保持有效，延长投标有效期无须通知本保险人，但任何索款要求应在投标有效期到期后30日（含）内送达我方。 </w:t>
      </w:r>
    </w:p>
    <w:p w14:paraId="086DFC37">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具体保险期限以保险合同载明为准。</w:t>
      </w:r>
    </w:p>
    <w:p w14:paraId="56C18A67">
      <w:pPr>
        <w:snapToGrid w:val="0"/>
        <w:spacing w:line="380" w:lineRule="exact"/>
        <w:ind w:firstLine="404"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w:t>
      </w:r>
      <w:r>
        <w:rPr>
          <w:rFonts w:hint="eastAsia" w:ascii="宋体" w:hAnsi="宋体" w:eastAsia="宋体" w:cs="宋体"/>
          <w:bCs/>
          <w:color w:val="auto"/>
          <w:szCs w:val="21"/>
          <w:highlight w:val="none"/>
        </w:rPr>
        <w:t>本保险保单凭证/保函载明事宜以保险合同约定为准。</w:t>
      </w:r>
    </w:p>
    <w:p w14:paraId="5A1D5AA8">
      <w:pPr>
        <w:snapToGrid w:val="0"/>
        <w:spacing w:line="380" w:lineRule="exact"/>
        <w:ind w:firstLine="404"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六、本保单凭证/保函自保险人或授权代理人签字并加盖公章之日起生效。</w:t>
      </w:r>
    </w:p>
    <w:p w14:paraId="04A07084">
      <w:pPr>
        <w:pStyle w:val="190"/>
        <w:spacing w:after="0" w:line="38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保险人名称： </w:t>
      </w:r>
      <w:r>
        <w:rPr>
          <w:rFonts w:hint="eastAsia" w:ascii="宋体" w:hAnsi="宋体" w:eastAsia="宋体" w:cs="宋体"/>
          <w:color w:val="auto"/>
          <w:sz w:val="21"/>
          <w:szCs w:val="21"/>
          <w:highlight w:val="none"/>
          <w:u w:val="single"/>
        </w:rPr>
        <w:t xml:space="preserve">                                           </w:t>
      </w:r>
    </w:p>
    <w:p w14:paraId="1FCB1EBE">
      <w:pPr>
        <w:pStyle w:val="190"/>
        <w:spacing w:after="0" w:line="38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邮政编码：</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 xml:space="preserve">            </w:t>
      </w:r>
    </w:p>
    <w:p w14:paraId="5F7D8520">
      <w:pPr>
        <w:spacing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日 </w:t>
      </w:r>
    </w:p>
    <w:p w14:paraId="7F58F27B">
      <w:pPr>
        <w:spacing w:line="480" w:lineRule="exact"/>
        <w:rPr>
          <w:rFonts w:hint="eastAsia" w:ascii="宋体" w:hAnsi="宋体" w:eastAsia="宋体" w:cs="宋体"/>
          <w:color w:val="auto"/>
          <w:szCs w:val="32"/>
          <w:highlight w:val="none"/>
        </w:rPr>
        <w:sectPr>
          <w:pgSz w:w="11906" w:h="16838"/>
          <w:pgMar w:top="1440" w:right="1588" w:bottom="1440" w:left="1440" w:header="1134" w:footer="851" w:gutter="0"/>
          <w:cols w:space="720" w:num="1"/>
          <w:docGrid w:type="linesAndChars" w:linePitch="574" w:charSpace="-1683"/>
        </w:sectPr>
      </w:pPr>
      <w:r>
        <w:rPr>
          <w:rFonts w:hint="eastAsia" w:ascii="宋体" w:hAnsi="宋体" w:eastAsia="宋体" w:cs="宋体"/>
          <w:color w:val="auto"/>
          <w:szCs w:val="32"/>
          <w:highlight w:val="none"/>
        </w:rPr>
        <w:t>说明：</w:t>
      </w:r>
      <w:r>
        <w:rPr>
          <w:rFonts w:hint="eastAsia" w:ascii="宋体" w:hAnsi="宋体" w:eastAsia="宋体" w:cs="宋体"/>
          <w:color w:val="auto"/>
          <w:szCs w:val="32"/>
          <w:highlight w:val="none"/>
          <w:lang w:val="en-US" w:eastAsia="zh-CN"/>
        </w:rPr>
        <w:t>保证保险</w:t>
      </w:r>
      <w:r>
        <w:rPr>
          <w:rFonts w:hint="eastAsia" w:ascii="宋体" w:hAnsi="宋体" w:eastAsia="宋体" w:cs="宋体"/>
          <w:color w:val="auto"/>
          <w:szCs w:val="32"/>
          <w:highlight w:val="none"/>
        </w:rPr>
        <w:t>开立人可以根据项目具体情况</w:t>
      </w:r>
      <w:r>
        <w:rPr>
          <w:rFonts w:hint="eastAsia" w:ascii="宋体" w:hAnsi="宋体" w:eastAsia="宋体" w:cs="宋体"/>
          <w:color w:val="auto"/>
          <w:szCs w:val="32"/>
          <w:highlight w:val="none"/>
          <w:lang w:val="en-US" w:eastAsia="zh-CN"/>
        </w:rPr>
        <w:t>调整</w:t>
      </w:r>
      <w:r>
        <w:rPr>
          <w:rFonts w:hint="eastAsia" w:ascii="宋体" w:hAnsi="宋体" w:eastAsia="宋体" w:cs="宋体"/>
          <w:color w:val="auto"/>
          <w:szCs w:val="32"/>
          <w:highlight w:val="none"/>
        </w:rPr>
        <w:t>相关条款，但不得违背招标文件的实质性内容，以及相关法律法规的规定。</w:t>
      </w:r>
    </w:p>
    <w:p w14:paraId="5F8B3DB6">
      <w:pPr>
        <w:widowControl/>
        <w:jc w:val="left"/>
        <w:rPr>
          <w:rFonts w:hint="eastAsia" w:ascii="宋体" w:hAnsi="宋体" w:eastAsia="宋体" w:cs="宋体"/>
          <w:color w:val="auto"/>
          <w:highlight w:val="none"/>
        </w:rPr>
      </w:pPr>
    </w:p>
    <w:p w14:paraId="5E121696">
      <w:pPr>
        <w:adjustRightInd w:val="0"/>
        <w:snapToGrid w:val="0"/>
        <w:jc w:val="center"/>
        <w:rPr>
          <w:rFonts w:hint="eastAsia" w:ascii="宋体" w:hAnsi="宋体" w:eastAsia="宋体" w:cs="宋体"/>
          <w:color w:val="auto"/>
          <w:sz w:val="30"/>
          <w:szCs w:val="30"/>
          <w:highlight w:val="none"/>
        </w:rPr>
      </w:pPr>
      <w:bookmarkStart w:id="1424" w:name="_Toc14250"/>
      <w:r>
        <w:rPr>
          <w:rFonts w:hint="eastAsia" w:ascii="宋体" w:hAnsi="宋体" w:eastAsia="宋体" w:cs="宋体"/>
          <w:color w:val="auto"/>
          <w:sz w:val="30"/>
          <w:szCs w:val="30"/>
          <w:highlight w:val="none"/>
        </w:rPr>
        <w:t>投标承诺</w:t>
      </w:r>
      <w:bookmarkEnd w:id="1424"/>
    </w:p>
    <w:p w14:paraId="7C4C02D1">
      <w:pPr>
        <w:adjustRightInd w:val="0"/>
        <w:snapToGrid w:val="0"/>
        <w:spacing w:line="480" w:lineRule="exact"/>
        <w:jc w:val="left"/>
        <w:rPr>
          <w:rFonts w:hint="eastAsia" w:ascii="宋体" w:hAnsi="宋体" w:eastAsia="宋体" w:cs="宋体"/>
          <w:color w:val="auto"/>
          <w:sz w:val="24"/>
          <w:highlight w:val="none"/>
        </w:rPr>
      </w:pPr>
    </w:p>
    <w:p w14:paraId="14B585C6">
      <w:pPr>
        <w:spacing w:line="480" w:lineRule="exact"/>
        <w:rPr>
          <w:rFonts w:hint="eastAsia" w:ascii="宋体" w:hAnsi="宋体" w:eastAsia="宋体" w:cs="宋体"/>
          <w:color w:val="auto"/>
          <w:szCs w:val="32"/>
          <w:highlight w:val="none"/>
        </w:rPr>
      </w:pPr>
      <w:r>
        <w:rPr>
          <w:rFonts w:hint="eastAsia" w:ascii="宋体" w:hAnsi="宋体" w:eastAsia="宋体" w:cs="宋体"/>
          <w:color w:val="auto"/>
          <w:szCs w:val="32"/>
          <w:highlight w:val="none"/>
          <w:u w:val="single"/>
        </w:rPr>
        <w:t xml:space="preserve">                （招标人名称）</w:t>
      </w:r>
      <w:r>
        <w:rPr>
          <w:rFonts w:hint="eastAsia" w:ascii="宋体" w:hAnsi="宋体" w:eastAsia="宋体" w:cs="宋体"/>
          <w:color w:val="auto"/>
          <w:szCs w:val="32"/>
          <w:highlight w:val="none"/>
        </w:rPr>
        <w:t xml:space="preserve"> ：</w:t>
      </w:r>
    </w:p>
    <w:p w14:paraId="48475792">
      <w:pPr>
        <w:spacing w:line="480" w:lineRule="exact"/>
        <w:ind w:firstLine="64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经慎重研究，我公司</w:t>
      </w:r>
      <w:r>
        <w:rPr>
          <w:rFonts w:hint="eastAsia" w:ascii="宋体" w:hAnsi="宋体" w:eastAsia="宋体" w:cs="宋体"/>
          <w:color w:val="auto"/>
          <w:szCs w:val="32"/>
          <w:highlight w:val="none"/>
          <w:u w:val="single"/>
        </w:rPr>
        <w:t xml:space="preserve">          投标人名称  </w:t>
      </w:r>
      <w:r>
        <w:rPr>
          <w:rFonts w:hint="eastAsia" w:ascii="宋体" w:hAnsi="宋体" w:eastAsia="宋体" w:cs="宋体"/>
          <w:color w:val="auto"/>
          <w:szCs w:val="32"/>
          <w:highlight w:val="none"/>
        </w:rPr>
        <w:t>（以下称“投标人”）决定于______年____月_____日参与你方组织的</w:t>
      </w:r>
      <w:r>
        <w:rPr>
          <w:rFonts w:hint="eastAsia" w:ascii="宋体" w:hAnsi="宋体" w:eastAsia="宋体" w:cs="宋体"/>
          <w:color w:val="auto"/>
          <w:szCs w:val="32"/>
          <w:highlight w:val="none"/>
          <w:u w:val="single"/>
        </w:rPr>
        <w:t xml:space="preserve">      招标项目及标段   </w:t>
      </w:r>
      <w:r>
        <w:rPr>
          <w:rFonts w:hint="eastAsia" w:ascii="宋体" w:hAnsi="宋体" w:eastAsia="宋体" w:cs="宋体"/>
          <w:color w:val="auto"/>
          <w:szCs w:val="32"/>
          <w:highlight w:val="none"/>
        </w:rPr>
        <w:t>的施工招标投标，我方承诺严格按照《招标投标法》及其实施条例等法律法规和政策文件的要求，履行投标义务。</w:t>
      </w:r>
    </w:p>
    <w:p w14:paraId="15EA3224">
      <w:pPr>
        <w:spacing w:line="480" w:lineRule="exact"/>
        <w:ind w:firstLine="640"/>
        <w:rPr>
          <w:rFonts w:hint="eastAsia" w:ascii="宋体" w:hAnsi="宋体" w:eastAsia="宋体" w:cs="宋体"/>
          <w:color w:val="auto"/>
          <w:szCs w:val="32"/>
          <w:highlight w:val="none"/>
        </w:rPr>
      </w:pPr>
      <w:r>
        <w:rPr>
          <w:rFonts w:hint="eastAsia" w:ascii="宋体" w:hAnsi="宋体" w:eastAsia="宋体" w:cs="宋体"/>
          <w:color w:val="auto"/>
          <w:szCs w:val="32"/>
          <w:highlight w:val="none"/>
        </w:rPr>
        <w:t>如果发生不履行相关投标义务的行为，自愿接受按法律法规和招标文件作出的处理。</w:t>
      </w:r>
    </w:p>
    <w:p w14:paraId="3B21AB3F">
      <w:pPr>
        <w:adjustRightInd w:val="0"/>
        <w:snapToGrid w:val="0"/>
        <w:spacing w:line="480" w:lineRule="exact"/>
        <w:jc w:val="left"/>
        <w:rPr>
          <w:rFonts w:hint="eastAsia" w:ascii="宋体" w:hAnsi="宋体" w:eastAsia="宋体" w:cs="宋体"/>
          <w:color w:val="auto"/>
          <w:szCs w:val="32"/>
          <w:highlight w:val="none"/>
        </w:rPr>
      </w:pPr>
    </w:p>
    <w:p w14:paraId="25956992">
      <w:pPr>
        <w:adjustRightInd w:val="0"/>
        <w:snapToGrid w:val="0"/>
        <w:spacing w:line="480" w:lineRule="exact"/>
        <w:jc w:val="left"/>
        <w:rPr>
          <w:rFonts w:hint="eastAsia" w:ascii="宋体" w:hAnsi="宋体" w:eastAsia="宋体" w:cs="宋体"/>
          <w:color w:val="auto"/>
          <w:szCs w:val="32"/>
          <w:highlight w:val="none"/>
        </w:rPr>
      </w:pPr>
    </w:p>
    <w:p w14:paraId="6E5BD534">
      <w:pPr>
        <w:spacing w:line="480" w:lineRule="exact"/>
        <w:ind w:right="404" w:firstLine="2121" w:firstLineChars="1050"/>
        <w:rPr>
          <w:rFonts w:hint="eastAsia" w:ascii="宋体" w:hAnsi="宋体" w:eastAsia="宋体" w:cs="宋体"/>
          <w:color w:val="auto"/>
          <w:szCs w:val="32"/>
          <w:highlight w:val="none"/>
        </w:rPr>
      </w:pPr>
      <w:r>
        <w:rPr>
          <w:rFonts w:hint="eastAsia" w:ascii="宋体" w:hAnsi="宋体" w:eastAsia="宋体" w:cs="宋体"/>
          <w:color w:val="auto"/>
          <w:szCs w:val="32"/>
          <w:highlight w:val="none"/>
        </w:rPr>
        <w:t>投标人：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（盖章）</w:t>
      </w:r>
    </w:p>
    <w:p w14:paraId="115DE315">
      <w:pPr>
        <w:spacing w:line="480" w:lineRule="exact"/>
        <w:ind w:firstLine="2020" w:firstLineChars="1000"/>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法定代表人：</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（签字或盖章）</w:t>
      </w:r>
    </w:p>
    <w:p w14:paraId="5E2737BB">
      <w:pPr>
        <w:spacing w:line="480" w:lineRule="exact"/>
        <w:ind w:firstLine="2121" w:firstLineChars="105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地址：</w:t>
      </w:r>
      <w:r>
        <w:rPr>
          <w:rFonts w:hint="eastAsia" w:ascii="宋体" w:hAnsi="宋体" w:eastAsia="宋体" w:cs="宋体"/>
          <w:color w:val="auto"/>
          <w:szCs w:val="32"/>
          <w:highlight w:val="none"/>
          <w:u w:val="single"/>
        </w:rPr>
        <w:t xml:space="preserve">                                  </w:t>
      </w:r>
    </w:p>
    <w:p w14:paraId="445BB60F">
      <w:pPr>
        <w:spacing w:line="480" w:lineRule="exact"/>
        <w:ind w:firstLine="2121" w:firstLineChars="105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电话：</w:t>
      </w:r>
      <w:r>
        <w:rPr>
          <w:rFonts w:hint="eastAsia" w:ascii="宋体" w:hAnsi="宋体" w:eastAsia="宋体" w:cs="宋体"/>
          <w:color w:val="auto"/>
          <w:szCs w:val="32"/>
          <w:highlight w:val="none"/>
          <w:u w:val="single"/>
        </w:rPr>
        <w:t xml:space="preserve">                     </w:t>
      </w:r>
    </w:p>
    <w:p w14:paraId="0B80157F">
      <w:pPr>
        <w:spacing w:line="480" w:lineRule="exact"/>
        <w:ind w:firstLine="2121" w:firstLineChars="1050"/>
        <w:rPr>
          <w:rFonts w:hint="eastAsia" w:ascii="宋体" w:hAnsi="宋体" w:eastAsia="宋体" w:cs="宋体"/>
          <w:color w:val="auto"/>
          <w:szCs w:val="32"/>
          <w:highlight w:val="none"/>
          <w:u w:val="single"/>
        </w:rPr>
      </w:pPr>
      <w:r>
        <w:rPr>
          <w:rFonts w:hint="eastAsia" w:ascii="宋体" w:hAnsi="宋体" w:eastAsia="宋体" w:cs="宋体"/>
          <w:color w:val="auto"/>
          <w:szCs w:val="32"/>
          <w:highlight w:val="none"/>
        </w:rPr>
        <w:t>传真：</w:t>
      </w:r>
      <w:r>
        <w:rPr>
          <w:rFonts w:hint="eastAsia" w:ascii="宋体" w:hAnsi="宋体" w:eastAsia="宋体" w:cs="宋体"/>
          <w:color w:val="auto"/>
          <w:szCs w:val="32"/>
          <w:highlight w:val="none"/>
          <w:u w:val="single"/>
        </w:rPr>
        <w:t xml:space="preserve">                     </w:t>
      </w:r>
    </w:p>
    <w:p w14:paraId="1E2734FF">
      <w:pPr>
        <w:spacing w:line="480" w:lineRule="exact"/>
        <w:ind w:firstLine="707" w:firstLineChars="350"/>
        <w:rPr>
          <w:rFonts w:hint="eastAsia" w:ascii="宋体" w:hAnsi="宋体" w:eastAsia="宋体" w:cs="宋体"/>
          <w:color w:val="auto"/>
          <w:szCs w:val="32"/>
          <w:highlight w:val="none"/>
        </w:rPr>
      </w:pPr>
    </w:p>
    <w:p w14:paraId="681679A3">
      <w:pPr>
        <w:spacing w:line="480" w:lineRule="exact"/>
        <w:ind w:firstLine="2929" w:firstLineChars="1450"/>
        <w:rPr>
          <w:rFonts w:hint="eastAsia" w:ascii="宋体" w:hAnsi="宋体" w:eastAsia="宋体" w:cs="宋体"/>
          <w:color w:val="auto"/>
          <w:szCs w:val="32"/>
          <w:highlight w:val="none"/>
        </w:rPr>
        <w:sectPr>
          <w:pgSz w:w="11906" w:h="16838"/>
          <w:pgMar w:top="1440" w:right="1440" w:bottom="1440" w:left="1440" w:header="1701" w:footer="1701" w:gutter="0"/>
          <w:cols w:space="720" w:num="1"/>
          <w:docGrid w:type="linesAndChars" w:linePitch="574" w:charSpace="-1683"/>
        </w:sectPr>
      </w:pPr>
      <w:r>
        <w:rPr>
          <w:rFonts w:hint="eastAsia" w:ascii="宋体" w:hAnsi="宋体" w:eastAsia="宋体" w:cs="宋体"/>
          <w:color w:val="auto"/>
          <w:szCs w:val="32"/>
          <w:highlight w:val="none"/>
        </w:rPr>
        <w:t xml:space="preserve"> </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年</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月</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日</w:t>
      </w:r>
    </w:p>
    <w:p w14:paraId="3B8964D1">
      <w:pPr>
        <w:pStyle w:val="8"/>
        <w:jc w:val="center"/>
        <w:rPr>
          <w:rFonts w:hint="eastAsia" w:ascii="宋体" w:hAnsi="宋体" w:eastAsia="宋体" w:cs="宋体"/>
          <w:b w:val="0"/>
          <w:bCs w:val="0"/>
          <w:color w:val="auto"/>
          <w:sz w:val="30"/>
          <w:highlight w:val="none"/>
        </w:rPr>
      </w:pPr>
      <w:bookmarkStart w:id="1425" w:name="_Toc9178584"/>
      <w:bookmarkStart w:id="1426" w:name="_Toc10028"/>
      <w:bookmarkStart w:id="1427" w:name="_Toc80006157"/>
      <w:bookmarkStart w:id="1428" w:name="_Toc80006267"/>
      <w:bookmarkStart w:id="1429" w:name="_Toc19965"/>
      <w:bookmarkStart w:id="1430" w:name="_Toc13790"/>
      <w:bookmarkStart w:id="1431" w:name="_Toc18556"/>
      <w:bookmarkStart w:id="1432" w:name="_Toc300678574"/>
      <w:r>
        <w:rPr>
          <w:rFonts w:hint="eastAsia" w:ascii="宋体" w:hAnsi="宋体" w:eastAsia="宋体" w:cs="宋体"/>
          <w:b w:val="0"/>
          <w:bCs w:val="0"/>
          <w:color w:val="auto"/>
          <w:sz w:val="30"/>
          <w:highlight w:val="none"/>
        </w:rPr>
        <w:t>6.项目管理机构</w:t>
      </w:r>
      <w:bookmarkEnd w:id="1425"/>
      <w:bookmarkEnd w:id="1426"/>
      <w:bookmarkEnd w:id="1427"/>
      <w:bookmarkEnd w:id="1428"/>
      <w:bookmarkEnd w:id="1429"/>
      <w:bookmarkEnd w:id="1430"/>
      <w:bookmarkEnd w:id="1431"/>
      <w:bookmarkEnd w:id="1432"/>
    </w:p>
    <w:p w14:paraId="3D3241A3">
      <w:pPr>
        <w:pStyle w:val="9"/>
        <w:jc w:val="center"/>
        <w:rPr>
          <w:rFonts w:hint="eastAsia" w:ascii="宋体" w:hAnsi="宋体" w:eastAsia="宋体" w:cs="宋体"/>
          <w:b w:val="0"/>
          <w:bCs w:val="0"/>
          <w:color w:val="auto"/>
          <w:sz w:val="28"/>
          <w:highlight w:val="none"/>
        </w:rPr>
      </w:pPr>
      <w:bookmarkStart w:id="1433" w:name="_Toc17159"/>
      <w:bookmarkStart w:id="1434" w:name="_Toc26871"/>
      <w:bookmarkStart w:id="1435" w:name="_Toc79998888"/>
      <w:bookmarkStart w:id="1436" w:name="_Toc15865"/>
      <w:bookmarkStart w:id="1437" w:name="_Toc80006268"/>
      <w:bookmarkStart w:id="1438" w:name="_Toc79998444"/>
      <w:bookmarkStart w:id="1439" w:name="_Toc80006158"/>
      <w:r>
        <w:rPr>
          <w:rFonts w:hint="eastAsia" w:ascii="宋体" w:hAnsi="宋体" w:eastAsia="宋体" w:cs="宋体"/>
          <w:b w:val="0"/>
          <w:bCs w:val="0"/>
          <w:color w:val="auto"/>
          <w:sz w:val="28"/>
          <w:highlight w:val="none"/>
        </w:rPr>
        <w:t>（1）项目管理机构组成表</w:t>
      </w:r>
      <w:bookmarkEnd w:id="1433"/>
      <w:bookmarkEnd w:id="1434"/>
      <w:bookmarkEnd w:id="1435"/>
      <w:bookmarkEnd w:id="1436"/>
      <w:bookmarkEnd w:id="1437"/>
      <w:bookmarkEnd w:id="1438"/>
      <w:bookmarkEnd w:id="1439"/>
    </w:p>
    <w:tbl>
      <w:tblPr>
        <w:tblStyle w:val="42"/>
        <w:tblW w:w="8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639"/>
        <w:gridCol w:w="1065"/>
        <w:gridCol w:w="808"/>
        <w:gridCol w:w="852"/>
        <w:gridCol w:w="724"/>
        <w:gridCol w:w="2127"/>
        <w:gridCol w:w="1510"/>
      </w:tblGrid>
      <w:tr w14:paraId="5928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Merge w:val="restart"/>
            <w:vAlign w:val="center"/>
          </w:tcPr>
          <w:p w14:paraId="5CCFEED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639" w:type="dxa"/>
            <w:vMerge w:val="restart"/>
            <w:vAlign w:val="center"/>
          </w:tcPr>
          <w:p w14:paraId="27AF356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性别</w:t>
            </w:r>
          </w:p>
        </w:tc>
        <w:tc>
          <w:tcPr>
            <w:tcW w:w="5576" w:type="dxa"/>
            <w:gridSpan w:val="5"/>
            <w:vAlign w:val="center"/>
          </w:tcPr>
          <w:p w14:paraId="2E9A25F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执业或岗位资格证明</w:t>
            </w:r>
          </w:p>
        </w:tc>
        <w:tc>
          <w:tcPr>
            <w:tcW w:w="1510" w:type="dxa"/>
            <w:vMerge w:val="restart"/>
            <w:vAlign w:val="center"/>
          </w:tcPr>
          <w:p w14:paraId="333D459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拟在本项目担任的工作岗位</w:t>
            </w:r>
          </w:p>
        </w:tc>
      </w:tr>
      <w:tr w14:paraId="4DEF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Merge w:val="continue"/>
            <w:vAlign w:val="center"/>
          </w:tcPr>
          <w:p w14:paraId="7014201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Merge w:val="continue"/>
            <w:vAlign w:val="center"/>
          </w:tcPr>
          <w:p w14:paraId="65E1F19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2D375AC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证书名称</w:t>
            </w:r>
          </w:p>
        </w:tc>
        <w:tc>
          <w:tcPr>
            <w:tcW w:w="808" w:type="dxa"/>
            <w:vAlign w:val="center"/>
          </w:tcPr>
          <w:p w14:paraId="383EC5D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级别</w:t>
            </w:r>
          </w:p>
        </w:tc>
        <w:tc>
          <w:tcPr>
            <w:tcW w:w="852" w:type="dxa"/>
            <w:vAlign w:val="center"/>
          </w:tcPr>
          <w:p w14:paraId="496A8AB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证号</w:t>
            </w:r>
          </w:p>
        </w:tc>
        <w:tc>
          <w:tcPr>
            <w:tcW w:w="724" w:type="dxa"/>
            <w:vAlign w:val="center"/>
          </w:tcPr>
          <w:p w14:paraId="2FBFD36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w:t>
            </w:r>
          </w:p>
        </w:tc>
        <w:tc>
          <w:tcPr>
            <w:tcW w:w="2127" w:type="dxa"/>
            <w:vAlign w:val="center"/>
          </w:tcPr>
          <w:p w14:paraId="2230922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身份证号码</w:t>
            </w:r>
          </w:p>
        </w:tc>
        <w:tc>
          <w:tcPr>
            <w:tcW w:w="1510" w:type="dxa"/>
            <w:vMerge w:val="continue"/>
            <w:vAlign w:val="center"/>
          </w:tcPr>
          <w:p w14:paraId="08B9E2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9FA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6C00FB3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76686AB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0772F1A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7CBFAFB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7036C7C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241925D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59F5DBD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1D70B7F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DC4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7C2606E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6BD739B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3E6E9C0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613DFCE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07B9F5C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7B4E7A6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CFD4C4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20D2C0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60D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4182BF8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4C028C7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8EDE6D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293100A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323D511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7E2BE70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40CD0C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0532C92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FAC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074B32C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D09A55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DCC3CE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5EE0901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660AAD6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4DC5CBD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D22273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3AF7552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9D3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3FAB44E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C59A4F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19C718D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610082C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10037CE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1A25A1C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55A5499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541CA6C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9D05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527C4EB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09975D7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5F4979C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59B1C15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7158CFB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4292949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2B6A59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14E8C3D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8FD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18B8B0B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4AA536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240D4B9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1B757EF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7547709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23B3C5B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72A1D8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5C3E1BC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8F5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0E01DD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FF57C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829B3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126061D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0633844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7527F42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7BB1212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373A97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8F5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dxa"/>
            <w:vAlign w:val="center"/>
          </w:tcPr>
          <w:p w14:paraId="37D1F3C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05D23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0E67ADC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08" w:type="dxa"/>
            <w:vAlign w:val="center"/>
          </w:tcPr>
          <w:p w14:paraId="2912950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52" w:type="dxa"/>
            <w:vAlign w:val="center"/>
          </w:tcPr>
          <w:p w14:paraId="5FB1F25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24" w:type="dxa"/>
            <w:vAlign w:val="center"/>
          </w:tcPr>
          <w:p w14:paraId="4878648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7" w:type="dxa"/>
            <w:vAlign w:val="center"/>
          </w:tcPr>
          <w:p w14:paraId="1DC712E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510" w:type="dxa"/>
            <w:vAlign w:val="center"/>
          </w:tcPr>
          <w:p w14:paraId="7CD221A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51505658">
      <w:pPr>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说明：项目管理机构人员是指项目经理。</w:t>
      </w:r>
    </w:p>
    <w:p w14:paraId="0C7D29C5">
      <w:pPr>
        <w:pStyle w:val="9"/>
        <w:outlineLvl w:val="9"/>
        <w:rPr>
          <w:rFonts w:hint="eastAsia" w:ascii="宋体" w:hAnsi="宋体" w:eastAsia="宋体" w:cs="宋体"/>
          <w:b w:val="0"/>
          <w:bCs w:val="0"/>
          <w:color w:val="auto"/>
          <w:sz w:val="28"/>
          <w:highlight w:val="none"/>
        </w:rPr>
      </w:pPr>
      <w:r>
        <w:rPr>
          <w:rFonts w:hint="eastAsia" w:ascii="宋体" w:hAnsi="宋体" w:eastAsia="宋体" w:cs="宋体"/>
          <w:color w:val="auto"/>
          <w:szCs w:val="21"/>
          <w:highlight w:val="none"/>
        </w:rPr>
        <w:br w:type="page"/>
      </w:r>
      <w:bookmarkStart w:id="1440" w:name="_Toc300678575"/>
      <w:bookmarkStart w:id="1441" w:name="_Toc9178585"/>
    </w:p>
    <w:bookmarkEnd w:id="1440"/>
    <w:bookmarkEnd w:id="1441"/>
    <w:p w14:paraId="529AE0CF">
      <w:pPr>
        <w:pStyle w:val="10"/>
        <w:jc w:val="center"/>
        <w:rPr>
          <w:rFonts w:hint="eastAsia" w:ascii="宋体" w:hAnsi="宋体" w:eastAsia="宋体" w:cs="宋体"/>
          <w:b w:val="0"/>
          <w:color w:val="auto"/>
          <w:szCs w:val="21"/>
          <w:highlight w:val="none"/>
        </w:rPr>
      </w:pPr>
      <w:bookmarkStart w:id="1442" w:name="_Toc20863"/>
      <w:bookmarkStart w:id="1443" w:name="_Toc79998445"/>
      <w:bookmarkStart w:id="1444" w:name="_Toc80006269"/>
      <w:bookmarkStart w:id="1445" w:name="_Toc79998889"/>
      <w:bookmarkStart w:id="1446" w:name="_Toc300678576"/>
      <w:bookmarkStart w:id="1447" w:name="_Toc80006159"/>
      <w:r>
        <w:rPr>
          <w:rFonts w:hint="eastAsia" w:ascii="宋体" w:hAnsi="宋体" w:eastAsia="宋体" w:cs="宋体"/>
          <w:b w:val="0"/>
          <w:bCs w:val="0"/>
          <w:color w:val="auto"/>
          <w:sz w:val="28"/>
          <w:highlight w:val="none"/>
        </w:rPr>
        <w:t>（2）</w:t>
      </w:r>
      <w:r>
        <w:rPr>
          <w:rFonts w:hint="eastAsia" w:ascii="宋体" w:hAnsi="宋体" w:eastAsia="宋体" w:cs="宋体"/>
          <w:b w:val="0"/>
          <w:bCs w:val="0"/>
          <w:color w:val="auto"/>
          <w:kern w:val="0"/>
          <w:sz w:val="28"/>
          <w:szCs w:val="24"/>
          <w:highlight w:val="none"/>
        </w:rPr>
        <w:t>拟任项目经理简历表</w:t>
      </w:r>
      <w:bookmarkEnd w:id="1442"/>
    </w:p>
    <w:bookmarkEnd w:id="1443"/>
    <w:bookmarkEnd w:id="1444"/>
    <w:bookmarkEnd w:id="1445"/>
    <w:bookmarkEnd w:id="1446"/>
    <w:bookmarkEnd w:id="1447"/>
    <w:tbl>
      <w:tblPr>
        <w:tblStyle w:val="42"/>
        <w:tblW w:w="8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035"/>
        <w:gridCol w:w="1134"/>
        <w:gridCol w:w="1275"/>
        <w:gridCol w:w="1843"/>
        <w:gridCol w:w="1872"/>
      </w:tblGrid>
      <w:tr w14:paraId="6417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vAlign w:val="center"/>
          </w:tcPr>
          <w:p w14:paraId="6DC36C2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2169" w:type="dxa"/>
            <w:gridSpan w:val="2"/>
            <w:vAlign w:val="center"/>
          </w:tcPr>
          <w:p w14:paraId="26DF809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75" w:type="dxa"/>
            <w:vAlign w:val="center"/>
          </w:tcPr>
          <w:p w14:paraId="342CA68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称</w:t>
            </w:r>
          </w:p>
        </w:tc>
        <w:tc>
          <w:tcPr>
            <w:tcW w:w="3715" w:type="dxa"/>
            <w:gridSpan w:val="2"/>
            <w:vAlign w:val="center"/>
          </w:tcPr>
          <w:p w14:paraId="4C6320D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20C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vAlign w:val="center"/>
          </w:tcPr>
          <w:p w14:paraId="476ACE0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1035" w:type="dxa"/>
            <w:vAlign w:val="center"/>
          </w:tcPr>
          <w:p w14:paraId="0FB41CE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34" w:type="dxa"/>
            <w:vAlign w:val="center"/>
          </w:tcPr>
          <w:p w14:paraId="3D56A90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1275" w:type="dxa"/>
            <w:vAlign w:val="center"/>
          </w:tcPr>
          <w:p w14:paraId="75C75F1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109096B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拟在本工程任职</w:t>
            </w:r>
          </w:p>
        </w:tc>
        <w:tc>
          <w:tcPr>
            <w:tcW w:w="1872" w:type="dxa"/>
            <w:vAlign w:val="center"/>
          </w:tcPr>
          <w:p w14:paraId="039330C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r>
      <w:tr w14:paraId="1DB5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34" w:type="dxa"/>
            <w:gridSpan w:val="3"/>
            <w:vAlign w:val="center"/>
          </w:tcPr>
          <w:p w14:paraId="45BC983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注册建造师执业资格等级</w:t>
            </w:r>
          </w:p>
        </w:tc>
        <w:tc>
          <w:tcPr>
            <w:tcW w:w="1275" w:type="dxa"/>
            <w:vAlign w:val="center"/>
          </w:tcPr>
          <w:p w14:paraId="39DB23A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级</w:t>
            </w:r>
          </w:p>
        </w:tc>
        <w:tc>
          <w:tcPr>
            <w:tcW w:w="1843" w:type="dxa"/>
            <w:vAlign w:val="center"/>
          </w:tcPr>
          <w:p w14:paraId="0EEBC9E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建造师专业</w:t>
            </w:r>
          </w:p>
        </w:tc>
        <w:tc>
          <w:tcPr>
            <w:tcW w:w="1872" w:type="dxa"/>
            <w:vAlign w:val="center"/>
          </w:tcPr>
          <w:p w14:paraId="27E14EB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3C8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34" w:type="dxa"/>
            <w:gridSpan w:val="3"/>
            <w:vAlign w:val="center"/>
          </w:tcPr>
          <w:p w14:paraId="458AC26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安全生产考核合格证书证号</w:t>
            </w:r>
          </w:p>
        </w:tc>
        <w:tc>
          <w:tcPr>
            <w:tcW w:w="4990" w:type="dxa"/>
            <w:gridSpan w:val="3"/>
            <w:vAlign w:val="center"/>
          </w:tcPr>
          <w:p w14:paraId="0AFA64A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BFE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4" w:type="dxa"/>
            <w:gridSpan w:val="6"/>
            <w:vAlign w:val="center"/>
          </w:tcPr>
          <w:p w14:paraId="635627F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主要工作经历</w:t>
            </w:r>
          </w:p>
        </w:tc>
      </w:tr>
      <w:tr w14:paraId="4DE66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65" w:type="dxa"/>
            <w:vAlign w:val="center"/>
          </w:tcPr>
          <w:p w14:paraId="1CF79D6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起止时间</w:t>
            </w:r>
          </w:p>
        </w:tc>
        <w:tc>
          <w:tcPr>
            <w:tcW w:w="3444" w:type="dxa"/>
            <w:gridSpan w:val="3"/>
            <w:vAlign w:val="center"/>
          </w:tcPr>
          <w:p w14:paraId="687A23F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参加过的类似项目名称</w:t>
            </w:r>
          </w:p>
        </w:tc>
        <w:tc>
          <w:tcPr>
            <w:tcW w:w="1843" w:type="dxa"/>
            <w:vAlign w:val="center"/>
          </w:tcPr>
          <w:p w14:paraId="69C201E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工程概况说明</w:t>
            </w:r>
          </w:p>
        </w:tc>
        <w:tc>
          <w:tcPr>
            <w:tcW w:w="1872" w:type="dxa"/>
            <w:vAlign w:val="center"/>
          </w:tcPr>
          <w:p w14:paraId="185F7F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发包人及联系电话</w:t>
            </w:r>
          </w:p>
        </w:tc>
      </w:tr>
      <w:tr w14:paraId="0439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14:paraId="30B18A4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3444" w:type="dxa"/>
            <w:gridSpan w:val="3"/>
            <w:vAlign w:val="center"/>
          </w:tcPr>
          <w:p w14:paraId="322164B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6B506F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72" w:type="dxa"/>
            <w:vAlign w:val="center"/>
          </w:tcPr>
          <w:p w14:paraId="2D436D3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1CA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14:paraId="19077EC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p w14:paraId="4CD27EA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3444" w:type="dxa"/>
            <w:gridSpan w:val="3"/>
            <w:vAlign w:val="center"/>
          </w:tcPr>
          <w:p w14:paraId="220F6EA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233BBFF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72" w:type="dxa"/>
            <w:vAlign w:val="center"/>
          </w:tcPr>
          <w:p w14:paraId="1C74A1E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36B5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14:paraId="55A2668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3444" w:type="dxa"/>
            <w:gridSpan w:val="3"/>
            <w:vAlign w:val="center"/>
          </w:tcPr>
          <w:p w14:paraId="16CC20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407294E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72" w:type="dxa"/>
            <w:vAlign w:val="center"/>
          </w:tcPr>
          <w:p w14:paraId="6AA7697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CAE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24" w:type="dxa"/>
            <w:gridSpan w:val="6"/>
            <w:vAlign w:val="center"/>
          </w:tcPr>
          <w:p w14:paraId="5B280CE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获奖情况</w:t>
            </w:r>
          </w:p>
        </w:tc>
      </w:tr>
      <w:tr w14:paraId="4004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14:paraId="09C4F0F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3444" w:type="dxa"/>
            <w:gridSpan w:val="3"/>
            <w:vAlign w:val="center"/>
          </w:tcPr>
          <w:p w14:paraId="3709DF5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168E3AD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72" w:type="dxa"/>
            <w:vAlign w:val="center"/>
          </w:tcPr>
          <w:p w14:paraId="1B43842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77BA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65" w:type="dxa"/>
            <w:vAlign w:val="center"/>
          </w:tcPr>
          <w:p w14:paraId="5645B1D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3444" w:type="dxa"/>
            <w:gridSpan w:val="3"/>
            <w:vAlign w:val="center"/>
          </w:tcPr>
          <w:p w14:paraId="29D75AC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43" w:type="dxa"/>
            <w:vAlign w:val="center"/>
          </w:tcPr>
          <w:p w14:paraId="6DE8F0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872" w:type="dxa"/>
            <w:vAlign w:val="center"/>
          </w:tcPr>
          <w:p w14:paraId="7B522A7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3E9BB4D4">
      <w:pPr>
        <w:spacing w:line="300"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    </w:t>
      </w:r>
    </w:p>
    <w:p w14:paraId="661ABEBC">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说明：</w:t>
      </w:r>
    </w:p>
    <w:p w14:paraId="2FADEE58">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1.请提供拟任项目经理的建造师注册证书、项目负责人安全生产考核合格证书、身份证的复印件。</w:t>
      </w:r>
    </w:p>
    <w:p w14:paraId="404761EE">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拟任本招标项目的项目经理在其他项目担任项目经理并发生过变更撤换的，投标人应当在投标文件中如实注明其变更撤换情况，提供经住房城乡建设主管部门备案的变更撤换资料复印件（或其官方网站查询的变更撤换信息的截图）和竣工验收资料复印件（项目已竣工的提供）。未发生以上情形的，请投标人提供不存在上述情形的承诺书（格式自拟）。（适用于：项目经理业绩、奖项加分的项目，且投标人在投标文件中已按招标文件规定提供符合加分的项目经理业绩或奖项证明材料的）</w:t>
      </w:r>
    </w:p>
    <w:p w14:paraId="15860C9F">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3.类似工程业绩考核期限</w:t>
      </w:r>
      <w:r>
        <w:rPr>
          <w:rFonts w:hint="eastAsia" w:ascii="宋体" w:hAnsi="宋体" w:eastAsia="宋体" w:cs="宋体"/>
          <w:color w:val="auto"/>
          <w:highlight w:val="none"/>
          <w:lang w:val="en-US" w:eastAsia="zh-CN"/>
        </w:rPr>
        <w:t>自投标截止之日前</w:t>
      </w:r>
      <w:r>
        <w:rPr>
          <w:rFonts w:hint="eastAsia" w:ascii="宋体" w:hAnsi="宋体" w:eastAsia="宋体" w:cs="宋体"/>
          <w:color w:val="auto"/>
          <w:highlight w:val="none"/>
          <w:lang w:eastAsia="zh-CN"/>
        </w:rPr>
        <w:t>3年</w:t>
      </w:r>
      <w:r>
        <w:rPr>
          <w:rFonts w:hint="eastAsia" w:ascii="宋体" w:hAnsi="宋体" w:eastAsia="宋体" w:cs="宋体"/>
          <w:color w:val="auto"/>
          <w:highlight w:val="none"/>
        </w:rPr>
        <w:t>，自竣工验收资料中建设单位签字之日起计算。类似工程业绩考核依据中竣工验收备案表未体现建设单位签字之日的以竣工验收备案表“竣工验收日期”栏中注明的时间为准）。</w:t>
      </w:r>
    </w:p>
    <w:p w14:paraId="44D97D16">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4.请附类似工程业绩证明资料（具体要求见本招标文件第二章投标人须知）。</w:t>
      </w:r>
    </w:p>
    <w:p w14:paraId="1CE9B41E">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5.请附拟任项目经理奖项证明文件（关键页）复印件（具体要求见本招标文件第三章评标办法）。</w:t>
      </w:r>
    </w:p>
    <w:p w14:paraId="024D56F3">
      <w:pPr>
        <w:ind w:firstLine="420" w:firstLineChars="200"/>
        <w:rPr>
          <w:rFonts w:hint="eastAsia" w:ascii="宋体" w:hAnsi="宋体" w:eastAsia="宋体" w:cs="宋体"/>
          <w:color w:val="auto"/>
          <w:highlight w:val="none"/>
        </w:rPr>
      </w:pPr>
    </w:p>
    <w:p w14:paraId="2EB3CDE4">
      <w:pPr>
        <w:ind w:firstLine="420" w:firstLineChars="200"/>
        <w:rPr>
          <w:rFonts w:hint="eastAsia" w:ascii="宋体" w:hAnsi="宋体" w:eastAsia="宋体" w:cs="宋体"/>
          <w:color w:val="auto"/>
          <w:highlight w:val="none"/>
        </w:rPr>
      </w:pPr>
    </w:p>
    <w:p w14:paraId="20149A63">
      <w:pPr>
        <w:ind w:firstLine="420" w:firstLineChars="200"/>
        <w:rPr>
          <w:rFonts w:hint="eastAsia" w:ascii="宋体" w:hAnsi="宋体" w:eastAsia="宋体" w:cs="宋体"/>
          <w:color w:val="auto"/>
          <w:highlight w:val="none"/>
        </w:rPr>
      </w:pPr>
    </w:p>
    <w:p w14:paraId="6EC957C5">
      <w:pPr>
        <w:ind w:firstLine="420" w:firstLineChars="200"/>
        <w:rPr>
          <w:rFonts w:hint="eastAsia" w:ascii="宋体" w:hAnsi="宋体" w:eastAsia="宋体" w:cs="宋体"/>
          <w:color w:val="auto"/>
          <w:highlight w:val="none"/>
        </w:rPr>
      </w:pPr>
    </w:p>
    <w:p w14:paraId="6035307A">
      <w:pPr>
        <w:ind w:firstLine="420" w:firstLineChars="200"/>
        <w:rPr>
          <w:rFonts w:hint="eastAsia" w:ascii="宋体" w:hAnsi="宋体" w:eastAsia="宋体" w:cs="宋体"/>
          <w:color w:val="auto"/>
          <w:highlight w:val="none"/>
        </w:rPr>
      </w:pPr>
    </w:p>
    <w:p w14:paraId="63BA8CAB">
      <w:pPr>
        <w:ind w:firstLine="420" w:firstLineChars="200"/>
        <w:rPr>
          <w:rFonts w:hint="eastAsia" w:ascii="宋体" w:hAnsi="宋体" w:eastAsia="宋体" w:cs="宋体"/>
          <w:color w:val="auto"/>
          <w:highlight w:val="none"/>
        </w:rPr>
      </w:pPr>
    </w:p>
    <w:p w14:paraId="11DACD6C">
      <w:pPr>
        <w:ind w:firstLine="420" w:firstLineChars="200"/>
        <w:rPr>
          <w:rFonts w:hint="eastAsia" w:ascii="宋体" w:hAnsi="宋体" w:eastAsia="宋体" w:cs="宋体"/>
          <w:color w:val="auto"/>
          <w:highlight w:val="none"/>
        </w:rPr>
      </w:pPr>
    </w:p>
    <w:p w14:paraId="088E0A75">
      <w:pPr>
        <w:rPr>
          <w:rFonts w:hint="eastAsia" w:ascii="宋体" w:hAnsi="宋体" w:eastAsia="宋体" w:cs="宋体"/>
          <w:color w:val="auto"/>
          <w:sz w:val="30"/>
          <w:szCs w:val="30"/>
          <w:highlight w:val="none"/>
        </w:rPr>
      </w:pPr>
    </w:p>
    <w:p w14:paraId="5CCA78E9">
      <w:pPr>
        <w:rPr>
          <w:rFonts w:hint="eastAsia" w:ascii="宋体" w:hAnsi="宋体" w:eastAsia="宋体" w:cs="宋体"/>
          <w:color w:val="auto"/>
          <w:sz w:val="30"/>
          <w:szCs w:val="30"/>
          <w:highlight w:val="none"/>
        </w:rPr>
      </w:pPr>
    </w:p>
    <w:p w14:paraId="019B0B2B">
      <w:pPr>
        <w:pStyle w:val="41"/>
        <w:rPr>
          <w:rFonts w:hint="eastAsia" w:ascii="宋体" w:hAnsi="宋体" w:eastAsia="宋体" w:cs="宋体"/>
          <w:color w:val="auto"/>
          <w:highlight w:val="none"/>
        </w:rPr>
      </w:pPr>
    </w:p>
    <w:p w14:paraId="4762B9BC">
      <w:pPr>
        <w:spacing w:line="360" w:lineRule="auto"/>
        <w:ind w:firstLine="420" w:firstLineChars="200"/>
        <w:rPr>
          <w:rFonts w:hint="eastAsia" w:ascii="宋体" w:hAnsi="宋体" w:eastAsia="宋体" w:cs="宋体"/>
          <w:color w:val="auto"/>
          <w:highlight w:val="none"/>
        </w:rPr>
      </w:pPr>
    </w:p>
    <w:p w14:paraId="16D50A0A">
      <w:pPr>
        <w:jc w:val="center"/>
        <w:rPr>
          <w:rFonts w:hint="eastAsia" w:ascii="宋体" w:hAnsi="宋体" w:eastAsia="宋体" w:cs="宋体"/>
          <w:color w:val="auto"/>
          <w:kern w:val="0"/>
          <w:sz w:val="28"/>
          <w:highlight w:val="none"/>
        </w:rPr>
      </w:pPr>
      <w:bookmarkStart w:id="1448" w:name="_Toc6176"/>
      <w:bookmarkStart w:id="1449" w:name="_Toc300678578"/>
      <w:r>
        <w:rPr>
          <w:rFonts w:hint="eastAsia" w:ascii="宋体" w:hAnsi="宋体" w:eastAsia="宋体" w:cs="宋体"/>
          <w:color w:val="auto"/>
          <w:kern w:val="0"/>
          <w:sz w:val="28"/>
          <w:highlight w:val="none"/>
        </w:rPr>
        <w:t>（3）项目经理自评表</w:t>
      </w:r>
      <w:bookmarkEnd w:id="1448"/>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3"/>
        <w:gridCol w:w="4721"/>
        <w:gridCol w:w="2126"/>
      </w:tblGrid>
      <w:tr w14:paraId="5A45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054" w:type="dxa"/>
            <w:gridSpan w:val="2"/>
            <w:vAlign w:val="center"/>
          </w:tcPr>
          <w:p w14:paraId="66357F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评审内容</w:t>
            </w:r>
          </w:p>
          <w:p w14:paraId="48F8E09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（项目名称、奖项名称）</w:t>
            </w:r>
          </w:p>
        </w:tc>
        <w:tc>
          <w:tcPr>
            <w:tcW w:w="2126" w:type="dxa"/>
            <w:vAlign w:val="center"/>
          </w:tcPr>
          <w:p w14:paraId="02FD6B0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p w14:paraId="091B166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材料所在的页码</w:t>
            </w:r>
          </w:p>
        </w:tc>
      </w:tr>
      <w:tr w14:paraId="2266E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333" w:type="dxa"/>
            <w:vAlign w:val="center"/>
          </w:tcPr>
          <w:p w14:paraId="053DA96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业绩</w:t>
            </w:r>
          </w:p>
        </w:tc>
        <w:tc>
          <w:tcPr>
            <w:tcW w:w="4721" w:type="dxa"/>
            <w:vAlign w:val="top"/>
          </w:tcPr>
          <w:p w14:paraId="3D00E8E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6" w:type="dxa"/>
            <w:vAlign w:val="top"/>
          </w:tcPr>
          <w:p w14:paraId="549765E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10A7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333" w:type="dxa"/>
            <w:vMerge w:val="restart"/>
            <w:vAlign w:val="center"/>
          </w:tcPr>
          <w:p w14:paraId="4E3E39C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奖项</w:t>
            </w:r>
          </w:p>
        </w:tc>
        <w:tc>
          <w:tcPr>
            <w:tcW w:w="4721" w:type="dxa"/>
            <w:vAlign w:val="top"/>
          </w:tcPr>
          <w:p w14:paraId="2AA4B1B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2126" w:type="dxa"/>
            <w:vAlign w:val="top"/>
          </w:tcPr>
          <w:p w14:paraId="366C8D0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E69A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33" w:type="dxa"/>
            <w:vMerge w:val="continue"/>
            <w:vAlign w:val="center"/>
          </w:tcPr>
          <w:p w14:paraId="220D2A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4721" w:type="dxa"/>
            <w:vAlign w:val="top"/>
          </w:tcPr>
          <w:p w14:paraId="04FB4506">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126" w:type="dxa"/>
            <w:vAlign w:val="top"/>
          </w:tcPr>
          <w:p w14:paraId="4BDE1A4C">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0343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33" w:type="dxa"/>
            <w:vMerge w:val="restart"/>
            <w:vAlign w:val="center"/>
          </w:tcPr>
          <w:p w14:paraId="06A1138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不良信用信息</w:t>
            </w:r>
          </w:p>
        </w:tc>
        <w:tc>
          <w:tcPr>
            <w:tcW w:w="4721" w:type="dxa"/>
            <w:vAlign w:val="top"/>
          </w:tcPr>
          <w:p w14:paraId="6656DA8A">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126" w:type="dxa"/>
            <w:vAlign w:val="top"/>
          </w:tcPr>
          <w:p w14:paraId="1AFD6824">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r w14:paraId="2578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333" w:type="dxa"/>
            <w:vMerge w:val="continue"/>
            <w:vAlign w:val="top"/>
          </w:tcPr>
          <w:p w14:paraId="713EE9E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4721" w:type="dxa"/>
            <w:vAlign w:val="top"/>
          </w:tcPr>
          <w:p w14:paraId="5BA089C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c>
          <w:tcPr>
            <w:tcW w:w="2126" w:type="dxa"/>
            <w:vAlign w:val="top"/>
          </w:tcPr>
          <w:p w14:paraId="5B119511">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p>
        </w:tc>
      </w:tr>
    </w:tbl>
    <w:p w14:paraId="3326DB40">
      <w:pPr>
        <w:rPr>
          <w:rFonts w:hint="eastAsia" w:ascii="宋体" w:hAnsi="宋体" w:eastAsia="宋体" w:cs="宋体"/>
          <w:color w:val="auto"/>
          <w:highlight w:val="none"/>
        </w:rPr>
      </w:pPr>
    </w:p>
    <w:bookmarkEnd w:id="1449"/>
    <w:p w14:paraId="6F5629EF">
      <w:pPr>
        <w:rPr>
          <w:rFonts w:hint="eastAsia" w:ascii="宋体" w:hAnsi="宋体" w:eastAsia="宋体" w:cs="宋体"/>
          <w:color w:val="auto"/>
          <w:highlight w:val="none"/>
        </w:rPr>
      </w:pPr>
      <w:bookmarkStart w:id="1450" w:name="_Toc300678579"/>
    </w:p>
    <w:p w14:paraId="69475A86">
      <w:pPr>
        <w:rPr>
          <w:rFonts w:hint="eastAsia" w:ascii="宋体" w:hAnsi="宋体" w:eastAsia="宋体" w:cs="宋体"/>
          <w:color w:val="auto"/>
          <w:highlight w:val="none"/>
        </w:rPr>
      </w:pPr>
    </w:p>
    <w:p w14:paraId="004E0D74">
      <w:pPr>
        <w:rPr>
          <w:rFonts w:hint="eastAsia" w:ascii="宋体" w:hAnsi="宋体" w:eastAsia="宋体" w:cs="宋体"/>
          <w:color w:val="auto"/>
          <w:highlight w:val="none"/>
        </w:rPr>
      </w:pPr>
    </w:p>
    <w:p w14:paraId="6B92975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436B828">
      <w:pPr>
        <w:pStyle w:val="8"/>
        <w:jc w:val="center"/>
        <w:rPr>
          <w:rFonts w:hint="eastAsia" w:ascii="宋体" w:hAnsi="宋体" w:eastAsia="宋体" w:cs="宋体"/>
          <w:b w:val="0"/>
          <w:bCs w:val="0"/>
          <w:color w:val="auto"/>
          <w:sz w:val="30"/>
          <w:szCs w:val="30"/>
          <w:highlight w:val="none"/>
          <w:lang w:eastAsia="zh-CN"/>
        </w:rPr>
      </w:pPr>
      <w:bookmarkStart w:id="1451" w:name="_Toc9178586"/>
      <w:bookmarkStart w:id="1452" w:name="_Toc80006160"/>
      <w:bookmarkStart w:id="1453" w:name="_Toc80006270"/>
      <w:bookmarkStart w:id="1454" w:name="_Toc17803"/>
      <w:bookmarkStart w:id="1455" w:name="_Toc2533"/>
      <w:bookmarkStart w:id="1456" w:name="_Toc32299"/>
      <w:bookmarkStart w:id="1457" w:name="_Toc17054"/>
      <w:r>
        <w:rPr>
          <w:rFonts w:hint="eastAsia" w:ascii="宋体" w:hAnsi="宋体" w:eastAsia="宋体" w:cs="宋体"/>
          <w:b w:val="0"/>
          <w:bCs w:val="0"/>
          <w:color w:val="auto"/>
          <w:sz w:val="30"/>
          <w:szCs w:val="30"/>
          <w:highlight w:val="none"/>
        </w:rPr>
        <w:t>7.拟分包计划表</w:t>
      </w:r>
      <w:bookmarkEnd w:id="1450"/>
      <w:bookmarkEnd w:id="1451"/>
      <w:bookmarkEnd w:id="1452"/>
      <w:bookmarkEnd w:id="1453"/>
      <w:r>
        <w:rPr>
          <w:rFonts w:hint="eastAsia" w:ascii="宋体" w:hAnsi="宋体" w:eastAsia="宋体" w:cs="宋体"/>
          <w:b w:val="0"/>
          <w:bCs w:val="0"/>
          <w:color w:val="auto"/>
          <w:sz w:val="30"/>
          <w:szCs w:val="30"/>
          <w:highlight w:val="none"/>
          <w:lang w:val="en-US" w:eastAsia="zh-CN"/>
        </w:rPr>
        <w:t xml:space="preserve"> </w:t>
      </w:r>
      <w:r>
        <w:rPr>
          <w:rFonts w:hint="eastAsia" w:ascii="宋体" w:hAnsi="宋体" w:eastAsia="宋体" w:cs="宋体"/>
          <w:b w:val="0"/>
          <w:bCs w:val="0"/>
          <w:color w:val="auto"/>
          <w:sz w:val="30"/>
          <w:szCs w:val="30"/>
          <w:highlight w:val="none"/>
          <w:lang w:eastAsia="zh-CN"/>
        </w:rPr>
        <w:t>（如有）</w:t>
      </w:r>
      <w:bookmarkEnd w:id="1454"/>
      <w:bookmarkEnd w:id="1455"/>
      <w:bookmarkEnd w:id="1456"/>
      <w:bookmarkEnd w:id="1457"/>
    </w:p>
    <w:tbl>
      <w:tblPr>
        <w:tblStyle w:val="42"/>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915"/>
        <w:gridCol w:w="751"/>
        <w:gridCol w:w="950"/>
        <w:gridCol w:w="1070"/>
        <w:gridCol w:w="1065"/>
        <w:gridCol w:w="1065"/>
        <w:gridCol w:w="639"/>
      </w:tblGrid>
      <w:tr w14:paraId="08F6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restart"/>
            <w:tcMar>
              <w:left w:w="108" w:type="dxa"/>
              <w:right w:w="108" w:type="dxa"/>
            </w:tcMar>
            <w:vAlign w:val="center"/>
          </w:tcPr>
          <w:p w14:paraId="4329A69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915" w:type="dxa"/>
            <w:vMerge w:val="restart"/>
            <w:vAlign w:val="center"/>
          </w:tcPr>
          <w:p w14:paraId="0571024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拟分包项目名称、范围及理由</w:t>
            </w:r>
          </w:p>
        </w:tc>
        <w:tc>
          <w:tcPr>
            <w:tcW w:w="4901" w:type="dxa"/>
            <w:gridSpan w:val="5"/>
            <w:vAlign w:val="center"/>
          </w:tcPr>
          <w:p w14:paraId="79E13C6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拟选分包人</w:t>
            </w:r>
          </w:p>
        </w:tc>
        <w:tc>
          <w:tcPr>
            <w:tcW w:w="639" w:type="dxa"/>
            <w:vMerge w:val="restart"/>
            <w:vAlign w:val="center"/>
          </w:tcPr>
          <w:p w14:paraId="534768C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2A97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3DA68F4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3B09D6F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701" w:type="dxa"/>
            <w:gridSpan w:val="2"/>
            <w:vAlign w:val="center"/>
          </w:tcPr>
          <w:p w14:paraId="70E4FC2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拟选分包人名称</w:t>
            </w:r>
          </w:p>
        </w:tc>
        <w:tc>
          <w:tcPr>
            <w:tcW w:w="1070" w:type="dxa"/>
            <w:vAlign w:val="center"/>
          </w:tcPr>
          <w:p w14:paraId="58CFA89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注册地点</w:t>
            </w:r>
          </w:p>
        </w:tc>
        <w:tc>
          <w:tcPr>
            <w:tcW w:w="1065" w:type="dxa"/>
            <w:vAlign w:val="center"/>
          </w:tcPr>
          <w:p w14:paraId="69B3F87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企业资质</w:t>
            </w:r>
          </w:p>
        </w:tc>
        <w:tc>
          <w:tcPr>
            <w:tcW w:w="1065" w:type="dxa"/>
            <w:vAlign w:val="center"/>
          </w:tcPr>
          <w:p w14:paraId="213A5C9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有关业绩</w:t>
            </w:r>
          </w:p>
        </w:tc>
        <w:tc>
          <w:tcPr>
            <w:tcW w:w="639" w:type="dxa"/>
            <w:vMerge w:val="continue"/>
            <w:vAlign w:val="center"/>
          </w:tcPr>
          <w:p w14:paraId="39DEC01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7CC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restart"/>
            <w:tcMar>
              <w:left w:w="108" w:type="dxa"/>
              <w:right w:w="108" w:type="dxa"/>
            </w:tcMar>
            <w:vAlign w:val="center"/>
          </w:tcPr>
          <w:p w14:paraId="2BB0EBD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restart"/>
            <w:vAlign w:val="center"/>
          </w:tcPr>
          <w:p w14:paraId="7B3C10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76A6BC1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950" w:type="dxa"/>
            <w:vAlign w:val="center"/>
          </w:tcPr>
          <w:p w14:paraId="4E8A331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08B6285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15B1325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AEB8A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5753DFE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0AA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01CB8B4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134DF57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75C44DF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950" w:type="dxa"/>
            <w:vAlign w:val="center"/>
          </w:tcPr>
          <w:p w14:paraId="6CD50A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59D7834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B91425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199270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4913EF9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0A2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76F857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6063FF5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11DCB9B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950" w:type="dxa"/>
            <w:vAlign w:val="center"/>
          </w:tcPr>
          <w:p w14:paraId="2AB7A1C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46ED082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3BA29DF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20C799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0F07C2D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949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restart"/>
            <w:tcMar>
              <w:left w:w="108" w:type="dxa"/>
              <w:right w:w="108" w:type="dxa"/>
            </w:tcMar>
            <w:vAlign w:val="center"/>
          </w:tcPr>
          <w:p w14:paraId="70FB8C8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restart"/>
            <w:vAlign w:val="center"/>
          </w:tcPr>
          <w:p w14:paraId="78BA339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004EAEB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950" w:type="dxa"/>
            <w:vAlign w:val="center"/>
          </w:tcPr>
          <w:p w14:paraId="00733FB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6179D3F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2CA268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7274395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46C65A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05D4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14ADCA5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77CE641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2509E12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950" w:type="dxa"/>
            <w:vAlign w:val="center"/>
          </w:tcPr>
          <w:p w14:paraId="759E53B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2D5DAE4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70C0754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4A141F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FCA832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185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194D154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000E87F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19DAE01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950" w:type="dxa"/>
            <w:vAlign w:val="center"/>
          </w:tcPr>
          <w:p w14:paraId="091CCA8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12457E8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03F485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15B8912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63E1C8D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EA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restart"/>
            <w:tcMar>
              <w:left w:w="108" w:type="dxa"/>
              <w:right w:w="108" w:type="dxa"/>
            </w:tcMar>
            <w:vAlign w:val="center"/>
          </w:tcPr>
          <w:p w14:paraId="7063FF9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restart"/>
            <w:vAlign w:val="center"/>
          </w:tcPr>
          <w:p w14:paraId="24DE955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5D1AB0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950" w:type="dxa"/>
            <w:vAlign w:val="center"/>
          </w:tcPr>
          <w:p w14:paraId="5590BF0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48B1666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785947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76732D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212C089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083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1820E5B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0627639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60F3C82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950" w:type="dxa"/>
            <w:vAlign w:val="center"/>
          </w:tcPr>
          <w:p w14:paraId="29F213F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48073FC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5D3B2B6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85BB26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E93557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BFA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3EFE3F0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4511D0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4922DDA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950" w:type="dxa"/>
            <w:vAlign w:val="center"/>
          </w:tcPr>
          <w:p w14:paraId="1568D62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13F34FF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330CA1E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12F00BA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41A71AC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C71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restart"/>
            <w:tcMar>
              <w:left w:w="108" w:type="dxa"/>
              <w:right w:w="108" w:type="dxa"/>
            </w:tcMar>
            <w:vAlign w:val="center"/>
          </w:tcPr>
          <w:p w14:paraId="44DC966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restart"/>
            <w:vAlign w:val="center"/>
          </w:tcPr>
          <w:p w14:paraId="6302FD7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77649C3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950" w:type="dxa"/>
            <w:vAlign w:val="center"/>
          </w:tcPr>
          <w:p w14:paraId="7487C64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741A502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49DA4F8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7959FEF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22FDA2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551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283DEE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1D7A9B4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2C98DA3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950" w:type="dxa"/>
            <w:vAlign w:val="center"/>
          </w:tcPr>
          <w:p w14:paraId="677B7F4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1CCA582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6B6D47E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1354CCA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3B657DD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11C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 w:type="dxa"/>
            <w:vMerge w:val="continue"/>
            <w:tcMar>
              <w:left w:w="108" w:type="dxa"/>
              <w:right w:w="108" w:type="dxa"/>
            </w:tcMar>
            <w:vAlign w:val="center"/>
          </w:tcPr>
          <w:p w14:paraId="4650A2D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15" w:type="dxa"/>
            <w:vMerge w:val="continue"/>
            <w:vAlign w:val="center"/>
          </w:tcPr>
          <w:p w14:paraId="698744A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51" w:type="dxa"/>
            <w:vAlign w:val="center"/>
          </w:tcPr>
          <w:p w14:paraId="7A06073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950" w:type="dxa"/>
            <w:vAlign w:val="center"/>
          </w:tcPr>
          <w:p w14:paraId="438FD3C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70" w:type="dxa"/>
            <w:vAlign w:val="center"/>
          </w:tcPr>
          <w:p w14:paraId="244E90B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5D390AE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65" w:type="dxa"/>
            <w:vAlign w:val="center"/>
          </w:tcPr>
          <w:p w14:paraId="581B476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639" w:type="dxa"/>
            <w:vAlign w:val="center"/>
          </w:tcPr>
          <w:p w14:paraId="0A1E782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6F20DBD9">
      <w:pPr>
        <w:spacing w:line="360" w:lineRule="auto"/>
        <w:ind w:right="420"/>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说明：本表所列分包仅限于承包人自行施工范围内的非主体、非关键工程。</w:t>
      </w:r>
    </w:p>
    <w:p w14:paraId="74A6DF92">
      <w:pPr>
        <w:spacing w:line="360" w:lineRule="auto"/>
        <w:ind w:right="420"/>
        <w:jc w:val="center"/>
        <w:rPr>
          <w:rFonts w:hint="eastAsia" w:ascii="宋体" w:hAnsi="宋体" w:eastAsia="宋体" w:cs="宋体"/>
          <w:b/>
          <w:bCs/>
          <w:color w:val="auto"/>
          <w:sz w:val="30"/>
          <w:highlight w:val="none"/>
        </w:rPr>
      </w:pPr>
      <w:bookmarkStart w:id="1458" w:name="_Toc300678580"/>
      <w:r>
        <w:rPr>
          <w:rFonts w:hint="eastAsia" w:ascii="宋体" w:hAnsi="宋体" w:eastAsia="宋体" w:cs="宋体"/>
          <w:bCs/>
          <w:color w:val="auto"/>
          <w:sz w:val="28"/>
          <w:szCs w:val="28"/>
          <w:highlight w:val="none"/>
        </w:rPr>
        <w:br w:type="page"/>
      </w:r>
      <w:bookmarkStart w:id="1459" w:name="_Toc9178587"/>
      <w:r>
        <w:rPr>
          <w:rFonts w:hint="eastAsia" w:ascii="宋体" w:hAnsi="宋体" w:eastAsia="宋体" w:cs="宋体"/>
          <w:b w:val="0"/>
          <w:bCs w:val="0"/>
          <w:color w:val="auto"/>
          <w:sz w:val="30"/>
          <w:highlight w:val="none"/>
        </w:rPr>
        <w:t>8.资格审查等资料</w:t>
      </w:r>
      <w:bookmarkEnd w:id="1458"/>
      <w:bookmarkEnd w:id="1459"/>
    </w:p>
    <w:p w14:paraId="3CD870E4">
      <w:pPr>
        <w:pStyle w:val="10"/>
        <w:ind w:firstLine="0" w:firstLineChars="0"/>
        <w:jc w:val="center"/>
        <w:rPr>
          <w:rFonts w:hint="eastAsia" w:ascii="宋体" w:hAnsi="宋体" w:eastAsia="宋体" w:cs="宋体"/>
          <w:b w:val="0"/>
          <w:bCs w:val="0"/>
          <w:color w:val="auto"/>
          <w:sz w:val="24"/>
          <w:highlight w:val="none"/>
        </w:rPr>
      </w:pPr>
      <w:bookmarkStart w:id="1460" w:name="_Toc300678581"/>
      <w:bookmarkStart w:id="1461" w:name="_Toc8978"/>
      <w:r>
        <w:rPr>
          <w:rFonts w:hint="eastAsia" w:ascii="宋体" w:hAnsi="宋体" w:eastAsia="宋体" w:cs="宋体"/>
          <w:b w:val="0"/>
          <w:bCs w:val="0"/>
          <w:color w:val="auto"/>
          <w:sz w:val="24"/>
          <w:highlight w:val="none"/>
        </w:rPr>
        <w:t>（1）投标人基本情况表</w:t>
      </w:r>
      <w:bookmarkEnd w:id="1460"/>
      <w:bookmarkEnd w:id="1461"/>
    </w:p>
    <w:tbl>
      <w:tblPr>
        <w:tblStyle w:val="42"/>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897"/>
        <w:gridCol w:w="1021"/>
        <w:gridCol w:w="993"/>
        <w:gridCol w:w="283"/>
        <w:gridCol w:w="195"/>
        <w:gridCol w:w="1246"/>
        <w:gridCol w:w="260"/>
        <w:gridCol w:w="709"/>
        <w:gridCol w:w="1201"/>
      </w:tblGrid>
      <w:tr w14:paraId="5874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213243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805" w:type="dxa"/>
            <w:gridSpan w:val="9"/>
            <w:vAlign w:val="center"/>
          </w:tcPr>
          <w:p w14:paraId="267204D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F1A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144121C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389" w:type="dxa"/>
            <w:gridSpan w:val="5"/>
            <w:vAlign w:val="center"/>
          </w:tcPr>
          <w:p w14:paraId="135D7E3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46" w:type="dxa"/>
            <w:vAlign w:val="center"/>
          </w:tcPr>
          <w:p w14:paraId="6470E25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2170" w:type="dxa"/>
            <w:gridSpan w:val="3"/>
            <w:vAlign w:val="center"/>
          </w:tcPr>
          <w:p w14:paraId="11B65B3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B06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Merge w:val="restart"/>
            <w:vAlign w:val="center"/>
          </w:tcPr>
          <w:p w14:paraId="2D83AE1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897" w:type="dxa"/>
            <w:vAlign w:val="center"/>
          </w:tcPr>
          <w:p w14:paraId="3EB1342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2492" w:type="dxa"/>
            <w:gridSpan w:val="4"/>
            <w:vAlign w:val="center"/>
          </w:tcPr>
          <w:p w14:paraId="28CEC9C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46" w:type="dxa"/>
            <w:vAlign w:val="center"/>
          </w:tcPr>
          <w:p w14:paraId="520FDFC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p>
        </w:tc>
        <w:tc>
          <w:tcPr>
            <w:tcW w:w="2170" w:type="dxa"/>
            <w:gridSpan w:val="3"/>
            <w:vAlign w:val="center"/>
          </w:tcPr>
          <w:p w14:paraId="3D3926E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F2F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Merge w:val="continue"/>
            <w:vAlign w:val="center"/>
          </w:tcPr>
          <w:p w14:paraId="761277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897" w:type="dxa"/>
            <w:vAlign w:val="center"/>
          </w:tcPr>
          <w:p w14:paraId="176F356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p>
        </w:tc>
        <w:tc>
          <w:tcPr>
            <w:tcW w:w="2492" w:type="dxa"/>
            <w:gridSpan w:val="4"/>
            <w:vAlign w:val="center"/>
          </w:tcPr>
          <w:p w14:paraId="3EA2ADB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46" w:type="dxa"/>
            <w:vAlign w:val="center"/>
          </w:tcPr>
          <w:p w14:paraId="29F794A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p>
        </w:tc>
        <w:tc>
          <w:tcPr>
            <w:tcW w:w="2170" w:type="dxa"/>
            <w:gridSpan w:val="3"/>
            <w:vAlign w:val="center"/>
          </w:tcPr>
          <w:p w14:paraId="112E574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442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2C82A71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组织结构</w:t>
            </w:r>
          </w:p>
        </w:tc>
        <w:tc>
          <w:tcPr>
            <w:tcW w:w="6805" w:type="dxa"/>
            <w:gridSpan w:val="9"/>
            <w:vAlign w:val="center"/>
          </w:tcPr>
          <w:p w14:paraId="5620355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8D7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5C9E158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897" w:type="dxa"/>
            <w:vAlign w:val="center"/>
          </w:tcPr>
          <w:p w14:paraId="7BA13BF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021" w:type="dxa"/>
            <w:vAlign w:val="center"/>
          </w:tcPr>
          <w:p w14:paraId="70BB92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76" w:type="dxa"/>
            <w:gridSpan w:val="2"/>
            <w:vAlign w:val="center"/>
          </w:tcPr>
          <w:p w14:paraId="08CA701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701" w:type="dxa"/>
            <w:gridSpan w:val="3"/>
            <w:vAlign w:val="center"/>
          </w:tcPr>
          <w:p w14:paraId="27BF552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09" w:type="dxa"/>
            <w:vAlign w:val="center"/>
          </w:tcPr>
          <w:p w14:paraId="2444764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201" w:type="dxa"/>
            <w:vAlign w:val="center"/>
          </w:tcPr>
          <w:p w14:paraId="394E704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65F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6AC5601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897" w:type="dxa"/>
            <w:vAlign w:val="center"/>
          </w:tcPr>
          <w:p w14:paraId="7250C72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021" w:type="dxa"/>
            <w:vAlign w:val="center"/>
          </w:tcPr>
          <w:p w14:paraId="5979654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276" w:type="dxa"/>
            <w:gridSpan w:val="2"/>
            <w:vAlign w:val="center"/>
          </w:tcPr>
          <w:p w14:paraId="41AF2F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701" w:type="dxa"/>
            <w:gridSpan w:val="3"/>
            <w:vAlign w:val="center"/>
          </w:tcPr>
          <w:p w14:paraId="79AC185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709" w:type="dxa"/>
            <w:vAlign w:val="center"/>
          </w:tcPr>
          <w:p w14:paraId="37AA584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201" w:type="dxa"/>
            <w:vAlign w:val="center"/>
          </w:tcPr>
          <w:p w14:paraId="7389853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B27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319683B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918" w:type="dxa"/>
            <w:gridSpan w:val="2"/>
            <w:vAlign w:val="center"/>
          </w:tcPr>
          <w:p w14:paraId="4AB432F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4887" w:type="dxa"/>
            <w:gridSpan w:val="7"/>
            <w:vAlign w:val="center"/>
          </w:tcPr>
          <w:p w14:paraId="0300684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r>
      <w:tr w14:paraId="3637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1BC56D5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企业资质等级</w:t>
            </w:r>
          </w:p>
        </w:tc>
        <w:tc>
          <w:tcPr>
            <w:tcW w:w="897" w:type="dxa"/>
            <w:vAlign w:val="center"/>
          </w:tcPr>
          <w:p w14:paraId="5AB6C24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21" w:type="dxa"/>
            <w:vAlign w:val="center"/>
          </w:tcPr>
          <w:p w14:paraId="3EEE5F9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93" w:type="dxa"/>
            <w:vMerge w:val="restart"/>
            <w:vAlign w:val="center"/>
          </w:tcPr>
          <w:p w14:paraId="1927689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tc>
        <w:tc>
          <w:tcPr>
            <w:tcW w:w="1984" w:type="dxa"/>
            <w:gridSpan w:val="4"/>
            <w:vAlign w:val="center"/>
          </w:tcPr>
          <w:p w14:paraId="0711ED0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项目经理人员</w:t>
            </w:r>
          </w:p>
        </w:tc>
        <w:tc>
          <w:tcPr>
            <w:tcW w:w="1910" w:type="dxa"/>
            <w:gridSpan w:val="2"/>
            <w:vAlign w:val="center"/>
          </w:tcPr>
          <w:p w14:paraId="30DE7FB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528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15B9F87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w:t>
            </w:r>
          </w:p>
        </w:tc>
        <w:tc>
          <w:tcPr>
            <w:tcW w:w="897" w:type="dxa"/>
            <w:vAlign w:val="center"/>
          </w:tcPr>
          <w:p w14:paraId="6140EDC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21" w:type="dxa"/>
            <w:vAlign w:val="center"/>
          </w:tcPr>
          <w:p w14:paraId="4DF4D32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93" w:type="dxa"/>
            <w:vMerge w:val="continue"/>
            <w:vAlign w:val="center"/>
          </w:tcPr>
          <w:p w14:paraId="187468C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84" w:type="dxa"/>
            <w:gridSpan w:val="4"/>
            <w:vAlign w:val="center"/>
          </w:tcPr>
          <w:p w14:paraId="695E1BA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高级职称人员</w:t>
            </w:r>
          </w:p>
        </w:tc>
        <w:tc>
          <w:tcPr>
            <w:tcW w:w="1910" w:type="dxa"/>
            <w:gridSpan w:val="2"/>
            <w:vAlign w:val="center"/>
          </w:tcPr>
          <w:p w14:paraId="60A67EA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24DE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7EE168C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97" w:type="dxa"/>
            <w:vAlign w:val="center"/>
          </w:tcPr>
          <w:p w14:paraId="2FE314C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21" w:type="dxa"/>
            <w:vAlign w:val="center"/>
          </w:tcPr>
          <w:p w14:paraId="614DC37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93" w:type="dxa"/>
            <w:vMerge w:val="continue"/>
            <w:vAlign w:val="center"/>
          </w:tcPr>
          <w:p w14:paraId="3989A95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84" w:type="dxa"/>
            <w:gridSpan w:val="4"/>
            <w:vAlign w:val="center"/>
          </w:tcPr>
          <w:p w14:paraId="556DB7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中级职称人员</w:t>
            </w:r>
          </w:p>
        </w:tc>
        <w:tc>
          <w:tcPr>
            <w:tcW w:w="1910" w:type="dxa"/>
            <w:gridSpan w:val="2"/>
            <w:vAlign w:val="center"/>
          </w:tcPr>
          <w:p w14:paraId="32B0EB2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BCB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2B46167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p>
        </w:tc>
        <w:tc>
          <w:tcPr>
            <w:tcW w:w="897" w:type="dxa"/>
            <w:vAlign w:val="center"/>
          </w:tcPr>
          <w:p w14:paraId="1214872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21" w:type="dxa"/>
            <w:vAlign w:val="center"/>
          </w:tcPr>
          <w:p w14:paraId="6451971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93" w:type="dxa"/>
            <w:vMerge w:val="continue"/>
            <w:vAlign w:val="center"/>
          </w:tcPr>
          <w:p w14:paraId="12E82C7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84" w:type="dxa"/>
            <w:gridSpan w:val="4"/>
            <w:vAlign w:val="center"/>
          </w:tcPr>
          <w:p w14:paraId="2365709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初级职称人员</w:t>
            </w:r>
          </w:p>
        </w:tc>
        <w:tc>
          <w:tcPr>
            <w:tcW w:w="1910" w:type="dxa"/>
            <w:gridSpan w:val="2"/>
            <w:vAlign w:val="center"/>
          </w:tcPr>
          <w:p w14:paraId="5061106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F5F4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31" w:type="dxa"/>
            <w:vAlign w:val="center"/>
          </w:tcPr>
          <w:p w14:paraId="0EC843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w:t>
            </w:r>
          </w:p>
        </w:tc>
        <w:tc>
          <w:tcPr>
            <w:tcW w:w="897" w:type="dxa"/>
            <w:vAlign w:val="center"/>
          </w:tcPr>
          <w:p w14:paraId="5253A5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021" w:type="dxa"/>
            <w:vAlign w:val="center"/>
          </w:tcPr>
          <w:p w14:paraId="700BA23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993" w:type="dxa"/>
            <w:vMerge w:val="continue"/>
            <w:vAlign w:val="center"/>
          </w:tcPr>
          <w:p w14:paraId="090EAAE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984" w:type="dxa"/>
            <w:gridSpan w:val="4"/>
            <w:vAlign w:val="center"/>
          </w:tcPr>
          <w:p w14:paraId="62DFC8E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  工</w:t>
            </w:r>
          </w:p>
        </w:tc>
        <w:tc>
          <w:tcPr>
            <w:tcW w:w="1910" w:type="dxa"/>
            <w:gridSpan w:val="2"/>
            <w:vAlign w:val="center"/>
          </w:tcPr>
          <w:p w14:paraId="049CE5E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68B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531" w:type="dxa"/>
            <w:vAlign w:val="center"/>
          </w:tcPr>
          <w:p w14:paraId="1D827AC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经营范围</w:t>
            </w:r>
          </w:p>
        </w:tc>
        <w:tc>
          <w:tcPr>
            <w:tcW w:w="6805" w:type="dxa"/>
            <w:gridSpan w:val="9"/>
            <w:vAlign w:val="center"/>
          </w:tcPr>
          <w:p w14:paraId="148CFE3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240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531" w:type="dxa"/>
            <w:vAlign w:val="center"/>
          </w:tcPr>
          <w:p w14:paraId="35FB33E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6805" w:type="dxa"/>
            <w:gridSpan w:val="9"/>
            <w:vAlign w:val="center"/>
          </w:tcPr>
          <w:p w14:paraId="45AAD9C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3E63CB6E">
      <w:pPr>
        <w:jc w:val="center"/>
        <w:rPr>
          <w:rFonts w:hint="eastAsia" w:ascii="宋体" w:hAnsi="宋体" w:eastAsia="宋体" w:cs="宋体"/>
          <w:color w:val="auto"/>
          <w:szCs w:val="21"/>
          <w:highlight w:val="none"/>
        </w:rPr>
      </w:pPr>
    </w:p>
    <w:p w14:paraId="1E1ABA1C">
      <w:pPr>
        <w:spacing w:line="300" w:lineRule="auto"/>
        <w:ind w:left="720" w:hanging="630" w:hangingChars="300"/>
        <w:rPr>
          <w:rFonts w:hint="eastAsia" w:ascii="宋体" w:hAnsi="宋体" w:eastAsia="宋体" w:cs="宋体"/>
          <w:color w:val="auto"/>
          <w:sz w:val="18"/>
          <w:szCs w:val="18"/>
          <w:highlight w:val="none"/>
        </w:rPr>
      </w:pPr>
      <w:r>
        <w:rPr>
          <w:rFonts w:hint="eastAsia" w:ascii="宋体" w:hAnsi="宋体" w:eastAsia="宋体" w:cs="宋体"/>
          <w:color w:val="auto"/>
          <w:szCs w:val="21"/>
          <w:highlight w:val="none"/>
        </w:rPr>
        <w:t>说明：若以联合体形式投标的，则</w:t>
      </w:r>
      <w:r>
        <w:rPr>
          <w:rFonts w:hint="eastAsia" w:ascii="宋体" w:hAnsi="宋体" w:eastAsia="宋体" w:cs="宋体"/>
          <w:color w:val="auto"/>
          <w:szCs w:val="21"/>
          <w:highlight w:val="none"/>
          <w:lang w:eastAsia="zh-CN"/>
        </w:rPr>
        <w:t>联合体各方</w:t>
      </w:r>
      <w:r>
        <w:rPr>
          <w:rFonts w:hint="eastAsia" w:ascii="宋体" w:hAnsi="宋体" w:eastAsia="宋体" w:cs="宋体"/>
          <w:color w:val="auto"/>
          <w:szCs w:val="21"/>
          <w:highlight w:val="none"/>
        </w:rPr>
        <w:t>均须分别填写《投标人基本情况表》</w:t>
      </w:r>
      <w:r>
        <w:rPr>
          <w:rFonts w:hint="eastAsia" w:ascii="宋体" w:hAnsi="宋体" w:eastAsia="宋体" w:cs="宋体"/>
          <w:color w:val="auto"/>
          <w:sz w:val="24"/>
          <w:highlight w:val="none"/>
        </w:rPr>
        <w:br w:type="page"/>
      </w:r>
    </w:p>
    <w:p w14:paraId="7E1C4B49">
      <w:pPr>
        <w:spacing w:line="300" w:lineRule="auto"/>
        <w:ind w:left="540" w:hanging="540" w:hangingChars="300"/>
        <w:rPr>
          <w:rFonts w:hint="eastAsia" w:ascii="宋体" w:hAnsi="宋体" w:eastAsia="宋体" w:cs="宋体"/>
          <w:color w:val="auto"/>
          <w:sz w:val="18"/>
          <w:szCs w:val="18"/>
          <w:highlight w:val="none"/>
        </w:rPr>
      </w:pPr>
    </w:p>
    <w:p w14:paraId="65EA1F56">
      <w:pPr>
        <w:pStyle w:val="10"/>
        <w:jc w:val="center"/>
        <w:rPr>
          <w:rFonts w:hint="eastAsia" w:ascii="宋体" w:hAnsi="宋体" w:eastAsia="宋体" w:cs="宋体"/>
          <w:b w:val="0"/>
          <w:bCs w:val="0"/>
          <w:color w:val="auto"/>
          <w:sz w:val="24"/>
          <w:highlight w:val="none"/>
        </w:rPr>
      </w:pPr>
      <w:bookmarkStart w:id="1462" w:name="_Toc1770"/>
      <w:bookmarkStart w:id="1463" w:name="_Toc300678583"/>
      <w:r>
        <w:rPr>
          <w:rFonts w:hint="eastAsia" w:ascii="宋体" w:hAnsi="宋体" w:eastAsia="宋体" w:cs="宋体"/>
          <w:b w:val="0"/>
          <w:bCs w:val="0"/>
          <w:color w:val="auto"/>
          <w:sz w:val="24"/>
          <w:highlight w:val="none"/>
        </w:rPr>
        <w:t>（2）投标人证件复印件</w:t>
      </w:r>
      <w:bookmarkEnd w:id="1462"/>
    </w:p>
    <w:p w14:paraId="06D2A3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说明：复印件包括企业营业执照、资质证书、安全生产许可证书的复印件。若以联合体形式投标的，则</w:t>
      </w:r>
      <w:r>
        <w:rPr>
          <w:rFonts w:hint="eastAsia" w:ascii="宋体" w:hAnsi="宋体" w:eastAsia="宋体" w:cs="宋体"/>
          <w:color w:val="auto"/>
          <w:szCs w:val="21"/>
          <w:highlight w:val="none"/>
          <w:lang w:eastAsia="zh-CN"/>
        </w:rPr>
        <w:t>联合体各方</w:t>
      </w:r>
      <w:r>
        <w:rPr>
          <w:rFonts w:hint="eastAsia" w:ascii="宋体" w:hAnsi="宋体" w:eastAsia="宋体" w:cs="宋体"/>
          <w:color w:val="auto"/>
          <w:szCs w:val="21"/>
          <w:highlight w:val="none"/>
        </w:rPr>
        <w:t>分别提供。同时，请</w:t>
      </w:r>
      <w:r>
        <w:rPr>
          <w:rFonts w:hint="eastAsia" w:ascii="宋体" w:hAnsi="宋体" w:eastAsia="宋体" w:cs="宋体"/>
          <w:color w:val="auto"/>
          <w:highlight w:val="none"/>
        </w:rPr>
        <w:t>省外入湘企业附在 “湖南省住房和城乡建设网” 进行基本信息登记</w:t>
      </w:r>
      <w:r>
        <w:rPr>
          <w:rFonts w:hint="eastAsia" w:ascii="宋体" w:hAnsi="宋体" w:eastAsia="宋体" w:cs="宋体"/>
          <w:bCs/>
          <w:color w:val="auto"/>
          <w:highlight w:val="none"/>
        </w:rPr>
        <w:t>的网页截图</w:t>
      </w:r>
      <w:r>
        <w:rPr>
          <w:rFonts w:hint="eastAsia" w:ascii="宋体" w:hAnsi="宋体" w:eastAsia="宋体" w:cs="宋体"/>
          <w:color w:val="auto"/>
          <w:szCs w:val="21"/>
          <w:highlight w:val="none"/>
        </w:rPr>
        <w:t>。</w:t>
      </w:r>
    </w:p>
    <w:p w14:paraId="09128A3D">
      <w:pPr>
        <w:spacing w:line="360" w:lineRule="auto"/>
        <w:ind w:firstLine="525" w:firstLineChars="250"/>
        <w:rPr>
          <w:rFonts w:hint="eastAsia" w:ascii="宋体" w:hAnsi="宋体" w:eastAsia="宋体" w:cs="宋体"/>
          <w:color w:val="auto"/>
          <w:szCs w:val="21"/>
          <w:highlight w:val="none"/>
        </w:rPr>
      </w:pPr>
    </w:p>
    <w:p w14:paraId="44D26023">
      <w:pPr>
        <w:spacing w:line="360" w:lineRule="auto"/>
        <w:ind w:firstLine="525" w:firstLineChars="250"/>
        <w:rPr>
          <w:rFonts w:hint="eastAsia" w:ascii="宋体" w:hAnsi="宋体" w:eastAsia="宋体" w:cs="宋体"/>
          <w:color w:val="auto"/>
          <w:szCs w:val="21"/>
          <w:highlight w:val="none"/>
        </w:rPr>
      </w:pPr>
    </w:p>
    <w:p w14:paraId="1D94ECA5">
      <w:pPr>
        <w:rPr>
          <w:rFonts w:hint="eastAsia" w:ascii="宋体" w:hAnsi="宋体" w:eastAsia="宋体" w:cs="宋体"/>
          <w:b/>
          <w:bCs/>
          <w:color w:val="auto"/>
          <w:sz w:val="24"/>
          <w:highlight w:val="none"/>
        </w:rPr>
      </w:pPr>
    </w:p>
    <w:p w14:paraId="1131E75F">
      <w:pPr>
        <w:rPr>
          <w:rFonts w:hint="eastAsia" w:ascii="宋体" w:hAnsi="宋体" w:eastAsia="宋体" w:cs="宋体"/>
          <w:b/>
          <w:bCs/>
          <w:color w:val="auto"/>
          <w:sz w:val="24"/>
          <w:highlight w:val="none"/>
        </w:rPr>
      </w:pPr>
    </w:p>
    <w:p w14:paraId="0FDD3FFF">
      <w:pPr>
        <w:rPr>
          <w:rFonts w:hint="eastAsia" w:ascii="宋体" w:hAnsi="宋体" w:eastAsia="宋体" w:cs="宋体"/>
          <w:b/>
          <w:bCs/>
          <w:color w:val="auto"/>
          <w:sz w:val="24"/>
          <w:highlight w:val="none"/>
        </w:rPr>
      </w:pPr>
    </w:p>
    <w:p w14:paraId="233A5F86">
      <w:pPr>
        <w:rPr>
          <w:rFonts w:hint="eastAsia" w:ascii="宋体" w:hAnsi="宋体" w:eastAsia="宋体" w:cs="宋体"/>
          <w:b/>
          <w:bCs/>
          <w:color w:val="auto"/>
          <w:sz w:val="24"/>
          <w:highlight w:val="none"/>
        </w:rPr>
      </w:pPr>
    </w:p>
    <w:p w14:paraId="200438F5">
      <w:pPr>
        <w:rPr>
          <w:rFonts w:hint="eastAsia" w:ascii="宋体" w:hAnsi="宋体" w:eastAsia="宋体" w:cs="宋体"/>
          <w:b/>
          <w:bCs/>
          <w:color w:val="auto"/>
          <w:sz w:val="24"/>
          <w:highlight w:val="none"/>
        </w:rPr>
      </w:pPr>
    </w:p>
    <w:p w14:paraId="2177583D">
      <w:pPr>
        <w:rPr>
          <w:rFonts w:hint="eastAsia" w:ascii="宋体" w:hAnsi="宋体" w:eastAsia="宋体" w:cs="宋体"/>
          <w:b/>
          <w:bCs/>
          <w:color w:val="auto"/>
          <w:sz w:val="24"/>
          <w:highlight w:val="none"/>
        </w:rPr>
      </w:pPr>
    </w:p>
    <w:p w14:paraId="52DEF5B1">
      <w:pPr>
        <w:rPr>
          <w:rFonts w:hint="eastAsia" w:ascii="宋体" w:hAnsi="宋体" w:eastAsia="宋体" w:cs="宋体"/>
          <w:b/>
          <w:bCs/>
          <w:color w:val="auto"/>
          <w:sz w:val="24"/>
          <w:highlight w:val="none"/>
        </w:rPr>
      </w:pPr>
    </w:p>
    <w:p w14:paraId="1A9691D1">
      <w:pPr>
        <w:rPr>
          <w:rFonts w:hint="eastAsia" w:ascii="宋体" w:hAnsi="宋体" w:eastAsia="宋体" w:cs="宋体"/>
          <w:b/>
          <w:bCs/>
          <w:color w:val="auto"/>
          <w:sz w:val="24"/>
          <w:highlight w:val="none"/>
        </w:rPr>
      </w:pPr>
    </w:p>
    <w:p w14:paraId="1C3EE26B">
      <w:pPr>
        <w:rPr>
          <w:rFonts w:hint="eastAsia" w:ascii="宋体" w:hAnsi="宋体" w:eastAsia="宋体" w:cs="宋体"/>
          <w:b/>
          <w:bCs/>
          <w:color w:val="auto"/>
          <w:sz w:val="24"/>
          <w:highlight w:val="none"/>
        </w:rPr>
      </w:pPr>
    </w:p>
    <w:p w14:paraId="4DD66297">
      <w:pPr>
        <w:rPr>
          <w:rFonts w:hint="eastAsia" w:ascii="宋体" w:hAnsi="宋体" w:eastAsia="宋体" w:cs="宋体"/>
          <w:b/>
          <w:bCs/>
          <w:color w:val="auto"/>
          <w:sz w:val="24"/>
          <w:highlight w:val="none"/>
        </w:rPr>
      </w:pPr>
    </w:p>
    <w:p w14:paraId="01CCF75A">
      <w:pPr>
        <w:rPr>
          <w:rFonts w:hint="eastAsia" w:ascii="宋体" w:hAnsi="宋体" w:eastAsia="宋体" w:cs="宋体"/>
          <w:b/>
          <w:bCs/>
          <w:color w:val="auto"/>
          <w:sz w:val="24"/>
          <w:highlight w:val="none"/>
        </w:rPr>
      </w:pPr>
    </w:p>
    <w:p w14:paraId="3C3341A2">
      <w:pPr>
        <w:rPr>
          <w:rFonts w:hint="eastAsia" w:ascii="宋体" w:hAnsi="宋体" w:eastAsia="宋体" w:cs="宋体"/>
          <w:b/>
          <w:bCs/>
          <w:color w:val="auto"/>
          <w:sz w:val="24"/>
          <w:highlight w:val="none"/>
        </w:rPr>
      </w:pPr>
    </w:p>
    <w:p w14:paraId="2DBE9C80">
      <w:pPr>
        <w:rPr>
          <w:rFonts w:hint="eastAsia" w:ascii="宋体" w:hAnsi="宋体" w:eastAsia="宋体" w:cs="宋体"/>
          <w:b/>
          <w:bCs/>
          <w:color w:val="auto"/>
          <w:sz w:val="24"/>
          <w:highlight w:val="none"/>
        </w:rPr>
      </w:pPr>
    </w:p>
    <w:p w14:paraId="5D0C003B">
      <w:pPr>
        <w:rPr>
          <w:rFonts w:hint="eastAsia" w:ascii="宋体" w:hAnsi="宋体" w:eastAsia="宋体" w:cs="宋体"/>
          <w:b/>
          <w:bCs/>
          <w:color w:val="auto"/>
          <w:sz w:val="24"/>
          <w:highlight w:val="none"/>
        </w:rPr>
      </w:pPr>
    </w:p>
    <w:p w14:paraId="626A17BA">
      <w:pPr>
        <w:rPr>
          <w:rFonts w:hint="eastAsia" w:ascii="宋体" w:hAnsi="宋体" w:eastAsia="宋体" w:cs="宋体"/>
          <w:b/>
          <w:bCs/>
          <w:color w:val="auto"/>
          <w:sz w:val="24"/>
          <w:highlight w:val="none"/>
        </w:rPr>
      </w:pPr>
    </w:p>
    <w:p w14:paraId="3B81A7A7">
      <w:pPr>
        <w:rPr>
          <w:rFonts w:hint="eastAsia" w:ascii="宋体" w:hAnsi="宋体" w:eastAsia="宋体" w:cs="宋体"/>
          <w:b/>
          <w:bCs/>
          <w:color w:val="auto"/>
          <w:sz w:val="24"/>
          <w:highlight w:val="none"/>
        </w:rPr>
      </w:pPr>
    </w:p>
    <w:p w14:paraId="14B97DFA">
      <w:pPr>
        <w:rPr>
          <w:rFonts w:hint="eastAsia" w:ascii="宋体" w:hAnsi="宋体" w:eastAsia="宋体" w:cs="宋体"/>
          <w:b/>
          <w:bCs/>
          <w:color w:val="auto"/>
          <w:sz w:val="24"/>
          <w:highlight w:val="none"/>
        </w:rPr>
      </w:pPr>
    </w:p>
    <w:p w14:paraId="7D7DF907">
      <w:pPr>
        <w:rPr>
          <w:rFonts w:hint="eastAsia" w:ascii="宋体" w:hAnsi="宋体" w:eastAsia="宋体" w:cs="宋体"/>
          <w:b/>
          <w:bCs/>
          <w:color w:val="auto"/>
          <w:sz w:val="24"/>
          <w:highlight w:val="none"/>
        </w:rPr>
      </w:pPr>
    </w:p>
    <w:p w14:paraId="6D60A303">
      <w:pPr>
        <w:rPr>
          <w:rFonts w:hint="eastAsia" w:ascii="宋体" w:hAnsi="宋体" w:eastAsia="宋体" w:cs="宋体"/>
          <w:b/>
          <w:bCs/>
          <w:color w:val="auto"/>
          <w:sz w:val="24"/>
          <w:highlight w:val="none"/>
        </w:rPr>
      </w:pPr>
    </w:p>
    <w:p w14:paraId="423A21B8">
      <w:pPr>
        <w:rPr>
          <w:rFonts w:hint="eastAsia" w:ascii="宋体" w:hAnsi="宋体" w:eastAsia="宋体" w:cs="宋体"/>
          <w:b/>
          <w:bCs/>
          <w:color w:val="auto"/>
          <w:sz w:val="24"/>
          <w:highlight w:val="none"/>
        </w:rPr>
      </w:pPr>
    </w:p>
    <w:p w14:paraId="638AB8F2">
      <w:pPr>
        <w:rPr>
          <w:rFonts w:hint="eastAsia" w:ascii="宋体" w:hAnsi="宋体" w:eastAsia="宋体" w:cs="宋体"/>
          <w:b/>
          <w:bCs/>
          <w:color w:val="auto"/>
          <w:sz w:val="24"/>
          <w:highlight w:val="none"/>
        </w:rPr>
      </w:pPr>
    </w:p>
    <w:p w14:paraId="0B78F77F">
      <w:pPr>
        <w:rPr>
          <w:rFonts w:hint="eastAsia" w:ascii="宋体" w:hAnsi="宋体" w:eastAsia="宋体" w:cs="宋体"/>
          <w:b/>
          <w:bCs/>
          <w:color w:val="auto"/>
          <w:sz w:val="24"/>
          <w:highlight w:val="none"/>
        </w:rPr>
      </w:pPr>
    </w:p>
    <w:p w14:paraId="43431AC8">
      <w:pPr>
        <w:rPr>
          <w:rFonts w:hint="eastAsia" w:ascii="宋体" w:hAnsi="宋体" w:eastAsia="宋体" w:cs="宋体"/>
          <w:b/>
          <w:bCs/>
          <w:color w:val="auto"/>
          <w:sz w:val="24"/>
          <w:highlight w:val="none"/>
        </w:rPr>
      </w:pPr>
    </w:p>
    <w:p w14:paraId="642E4E6B">
      <w:pPr>
        <w:rPr>
          <w:rFonts w:hint="eastAsia" w:ascii="宋体" w:hAnsi="宋体" w:eastAsia="宋体" w:cs="宋体"/>
          <w:b/>
          <w:bCs/>
          <w:color w:val="auto"/>
          <w:sz w:val="24"/>
          <w:highlight w:val="none"/>
        </w:rPr>
      </w:pPr>
    </w:p>
    <w:p w14:paraId="51B59979">
      <w:pPr>
        <w:rPr>
          <w:rFonts w:hint="eastAsia" w:ascii="宋体" w:hAnsi="宋体" w:eastAsia="宋体" w:cs="宋体"/>
          <w:b/>
          <w:bCs/>
          <w:color w:val="auto"/>
          <w:sz w:val="24"/>
          <w:highlight w:val="none"/>
        </w:rPr>
      </w:pPr>
    </w:p>
    <w:p w14:paraId="160405B9">
      <w:pPr>
        <w:rPr>
          <w:rFonts w:hint="eastAsia" w:ascii="宋体" w:hAnsi="宋体" w:eastAsia="宋体" w:cs="宋体"/>
          <w:b/>
          <w:bCs/>
          <w:color w:val="auto"/>
          <w:sz w:val="24"/>
          <w:highlight w:val="none"/>
        </w:rPr>
      </w:pPr>
    </w:p>
    <w:p w14:paraId="6FE49E4A">
      <w:pPr>
        <w:rPr>
          <w:rFonts w:hint="eastAsia" w:ascii="宋体" w:hAnsi="宋体" w:eastAsia="宋体" w:cs="宋体"/>
          <w:b/>
          <w:bCs/>
          <w:color w:val="auto"/>
          <w:sz w:val="24"/>
          <w:highlight w:val="none"/>
        </w:rPr>
        <w:sectPr>
          <w:pgSz w:w="11907" w:h="16840"/>
          <w:pgMar w:top="1418" w:right="1418" w:bottom="1418" w:left="1418" w:header="851" w:footer="992" w:gutter="0"/>
          <w:cols w:space="720" w:num="1"/>
          <w:docGrid w:linePitch="326" w:charSpace="0"/>
        </w:sectPr>
      </w:pPr>
    </w:p>
    <w:p w14:paraId="36F70DFF">
      <w:pPr>
        <w:pStyle w:val="10"/>
        <w:jc w:val="center"/>
        <w:rPr>
          <w:rFonts w:hint="eastAsia" w:ascii="宋体" w:hAnsi="宋体" w:eastAsia="宋体" w:cs="宋体"/>
          <w:b w:val="0"/>
          <w:bCs w:val="0"/>
          <w:color w:val="auto"/>
          <w:sz w:val="24"/>
          <w:highlight w:val="none"/>
        </w:rPr>
      </w:pPr>
      <w:bookmarkStart w:id="1464" w:name="_Toc10699"/>
      <w:r>
        <w:rPr>
          <w:rFonts w:hint="eastAsia" w:ascii="宋体" w:hAnsi="宋体" w:eastAsia="宋体" w:cs="宋体"/>
          <w:b w:val="0"/>
          <w:bCs w:val="0"/>
          <w:color w:val="auto"/>
          <w:sz w:val="24"/>
          <w:highlight w:val="none"/>
        </w:rPr>
        <w:t>（3）近年完成的类似工程业绩情况表</w:t>
      </w:r>
      <w:bookmarkEnd w:id="1463"/>
      <w:bookmarkEnd w:id="1464"/>
      <w:r>
        <w:rPr>
          <w:rFonts w:hint="eastAsia" w:ascii="宋体" w:hAnsi="宋体" w:eastAsia="宋体" w:cs="宋体"/>
          <w:b w:val="0"/>
          <w:bCs w:val="0"/>
          <w:color w:val="auto"/>
          <w:sz w:val="24"/>
          <w:highlight w:val="none"/>
          <w:lang w:val="en-US" w:eastAsia="zh-CN"/>
        </w:rPr>
        <w:t xml:space="preserve"> </w:t>
      </w:r>
    </w:p>
    <w:tbl>
      <w:tblPr>
        <w:tblStyle w:val="42"/>
        <w:tblW w:w="8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5932"/>
      </w:tblGrid>
      <w:tr w14:paraId="700E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4ABAF47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5932" w:type="dxa"/>
            <w:vAlign w:val="center"/>
          </w:tcPr>
          <w:p w14:paraId="2116DDB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5EA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0985613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项目所在地</w:t>
            </w:r>
          </w:p>
        </w:tc>
        <w:tc>
          <w:tcPr>
            <w:tcW w:w="5932" w:type="dxa"/>
            <w:vAlign w:val="center"/>
          </w:tcPr>
          <w:p w14:paraId="072B83C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413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4A25A8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发包人名称</w:t>
            </w:r>
          </w:p>
        </w:tc>
        <w:tc>
          <w:tcPr>
            <w:tcW w:w="5932" w:type="dxa"/>
            <w:vAlign w:val="center"/>
          </w:tcPr>
          <w:p w14:paraId="3AD03D7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5AE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468FFA6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发包人地址</w:t>
            </w:r>
          </w:p>
        </w:tc>
        <w:tc>
          <w:tcPr>
            <w:tcW w:w="5932" w:type="dxa"/>
            <w:vAlign w:val="center"/>
          </w:tcPr>
          <w:p w14:paraId="044623B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32C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6391429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发包人联系人及电话</w:t>
            </w:r>
          </w:p>
        </w:tc>
        <w:tc>
          <w:tcPr>
            <w:tcW w:w="5932" w:type="dxa"/>
            <w:vAlign w:val="center"/>
          </w:tcPr>
          <w:p w14:paraId="5A59AE3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34C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BD689B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合同价格</w:t>
            </w:r>
          </w:p>
        </w:tc>
        <w:tc>
          <w:tcPr>
            <w:tcW w:w="5932" w:type="dxa"/>
            <w:vAlign w:val="center"/>
          </w:tcPr>
          <w:p w14:paraId="674C482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99B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0BD8157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开工日期</w:t>
            </w:r>
          </w:p>
        </w:tc>
        <w:tc>
          <w:tcPr>
            <w:tcW w:w="5932" w:type="dxa"/>
            <w:vAlign w:val="center"/>
          </w:tcPr>
          <w:p w14:paraId="0FE0B28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AE9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6253489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竣工日期</w:t>
            </w:r>
          </w:p>
        </w:tc>
        <w:tc>
          <w:tcPr>
            <w:tcW w:w="5932" w:type="dxa"/>
            <w:vAlign w:val="center"/>
          </w:tcPr>
          <w:p w14:paraId="561E187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CA61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6CD7C9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承担的工作</w:t>
            </w:r>
          </w:p>
        </w:tc>
        <w:tc>
          <w:tcPr>
            <w:tcW w:w="5932" w:type="dxa"/>
            <w:vAlign w:val="center"/>
          </w:tcPr>
          <w:p w14:paraId="179D98D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5FA4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3FC9D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w:t>
            </w:r>
          </w:p>
        </w:tc>
        <w:tc>
          <w:tcPr>
            <w:tcW w:w="5932" w:type="dxa"/>
            <w:vAlign w:val="center"/>
          </w:tcPr>
          <w:p w14:paraId="581B447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ECB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072D88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5932" w:type="dxa"/>
            <w:vAlign w:val="center"/>
          </w:tcPr>
          <w:p w14:paraId="6647438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51D7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56BE764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5932" w:type="dxa"/>
            <w:vAlign w:val="center"/>
          </w:tcPr>
          <w:p w14:paraId="669DEE8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CFB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00A8B8F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总监理工程师及电话</w:t>
            </w:r>
          </w:p>
        </w:tc>
        <w:tc>
          <w:tcPr>
            <w:tcW w:w="5932" w:type="dxa"/>
            <w:vAlign w:val="center"/>
          </w:tcPr>
          <w:p w14:paraId="388B47B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1E5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2411" w:type="dxa"/>
            <w:vAlign w:val="center"/>
          </w:tcPr>
          <w:p w14:paraId="0614DE2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项目描述</w:t>
            </w:r>
          </w:p>
        </w:tc>
        <w:tc>
          <w:tcPr>
            <w:tcW w:w="5932" w:type="dxa"/>
            <w:vAlign w:val="center"/>
          </w:tcPr>
          <w:p w14:paraId="1A3A55B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B6D6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43ADB6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5932" w:type="dxa"/>
            <w:vAlign w:val="center"/>
          </w:tcPr>
          <w:p w14:paraId="05EF884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683913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bookmarkStart w:id="1465" w:name="_Hlk75203509"/>
    </w:p>
    <w:p w14:paraId="7BBBD9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1.类似工程业绩考核期限</w:t>
      </w:r>
      <w:r>
        <w:rPr>
          <w:rFonts w:hint="eastAsia" w:ascii="宋体" w:hAnsi="宋体" w:eastAsia="宋体" w:cs="宋体"/>
          <w:color w:val="auto"/>
          <w:szCs w:val="21"/>
          <w:highlight w:val="none"/>
          <w:lang w:val="en-US" w:eastAsia="zh-CN"/>
        </w:rPr>
        <w:t>自投标截止之日前</w:t>
      </w:r>
      <w:r>
        <w:rPr>
          <w:rFonts w:hint="eastAsia" w:ascii="宋体" w:hAnsi="宋体" w:eastAsia="宋体" w:cs="宋体"/>
          <w:color w:val="auto"/>
          <w:szCs w:val="21"/>
          <w:highlight w:val="none"/>
          <w:lang w:eastAsia="zh-CN"/>
        </w:rPr>
        <w:t>3年</w:t>
      </w:r>
      <w:r>
        <w:rPr>
          <w:rFonts w:hint="eastAsia" w:ascii="宋体" w:hAnsi="宋体" w:eastAsia="宋体" w:cs="宋体"/>
          <w:color w:val="auto"/>
          <w:szCs w:val="21"/>
          <w:highlight w:val="none"/>
        </w:rPr>
        <w:t>，自竣工验收资料中建设单位签字之日起计算。类似工程业绩考核依据中竣工验收备案表未体现建设单位签字之日的以竣工验收备案表“竣工验收日期”栏中注明的时间为准）。</w:t>
      </w:r>
    </w:p>
    <w:p w14:paraId="08FD9A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 请附类似工程业绩证明资料（具体要求见本招标文件第二章投标人须知）。</w:t>
      </w:r>
      <w:bookmarkStart w:id="1466" w:name="_Toc300678584"/>
    </w:p>
    <w:bookmarkEnd w:id="1465"/>
    <w:bookmarkEnd w:id="1466"/>
    <w:p w14:paraId="0809C968">
      <w:pPr>
        <w:spacing w:line="400" w:lineRule="exact"/>
        <w:rPr>
          <w:rFonts w:hint="eastAsia" w:ascii="宋体" w:hAnsi="宋体" w:eastAsia="宋体" w:cs="宋体"/>
          <w:color w:val="auto"/>
          <w:szCs w:val="21"/>
          <w:highlight w:val="none"/>
        </w:rPr>
      </w:pPr>
    </w:p>
    <w:p w14:paraId="3A3D3AA5">
      <w:pPr>
        <w:rPr>
          <w:rFonts w:hint="eastAsia" w:ascii="宋体" w:hAnsi="宋体" w:eastAsia="宋体" w:cs="宋体"/>
          <w:color w:val="auto"/>
          <w:highlight w:val="none"/>
          <w:lang w:val="zh-CN"/>
        </w:rPr>
      </w:pPr>
      <w:r>
        <w:rPr>
          <w:rFonts w:hint="eastAsia" w:ascii="宋体" w:hAnsi="宋体" w:eastAsia="宋体" w:cs="宋体"/>
          <w:color w:val="auto"/>
          <w:szCs w:val="21"/>
          <w:highlight w:val="none"/>
        </w:rPr>
        <w:br w:type="page"/>
      </w:r>
    </w:p>
    <w:p w14:paraId="5F8131E8">
      <w:pPr>
        <w:pStyle w:val="10"/>
        <w:jc w:val="left"/>
        <w:rPr>
          <w:rFonts w:hint="eastAsia" w:ascii="宋体" w:hAnsi="宋体" w:eastAsia="宋体" w:cs="宋体"/>
          <w:b w:val="0"/>
          <w:bCs w:val="0"/>
          <w:color w:val="auto"/>
          <w:sz w:val="24"/>
          <w:highlight w:val="none"/>
        </w:rPr>
      </w:pPr>
      <w:bookmarkStart w:id="1467" w:name="_Toc153"/>
      <w:r>
        <w:rPr>
          <w:rFonts w:hint="eastAsia" w:ascii="宋体" w:hAnsi="宋体" w:eastAsia="宋体" w:cs="宋体"/>
          <w:b w:val="0"/>
          <w:bCs w:val="0"/>
          <w:color w:val="auto"/>
          <w:sz w:val="24"/>
          <w:highlight w:val="none"/>
        </w:rPr>
        <w:t>（4）</w:t>
      </w:r>
      <w:bookmarkStart w:id="1468" w:name="_Hlk53732994"/>
      <w:r>
        <w:rPr>
          <w:rFonts w:hint="eastAsia" w:ascii="宋体" w:hAnsi="宋体" w:eastAsia="宋体" w:cs="宋体"/>
          <w:b w:val="0"/>
          <w:bCs w:val="0"/>
          <w:color w:val="auto"/>
          <w:sz w:val="24"/>
          <w:highlight w:val="none"/>
        </w:rPr>
        <w:t>投标人奖项情况</w:t>
      </w:r>
      <w:bookmarkEnd w:id="1467"/>
      <w:bookmarkEnd w:id="1468"/>
      <w:r>
        <w:rPr>
          <w:rFonts w:hint="eastAsia" w:ascii="宋体" w:hAnsi="宋体" w:eastAsia="宋体" w:cs="宋体"/>
          <w:b w:val="0"/>
          <w:bCs w:val="0"/>
          <w:color w:val="auto"/>
          <w:sz w:val="24"/>
          <w:highlight w:val="none"/>
          <w:lang w:val="en-US" w:eastAsia="zh-CN"/>
        </w:rPr>
        <w:t xml:space="preserve"> </w:t>
      </w:r>
    </w:p>
    <w:tbl>
      <w:tblPr>
        <w:tblStyle w:val="42"/>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401"/>
        <w:gridCol w:w="2322"/>
        <w:gridCol w:w="2322"/>
      </w:tblGrid>
      <w:tr w14:paraId="18F1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42" w:type="dxa"/>
            <w:vAlign w:val="center"/>
          </w:tcPr>
          <w:p w14:paraId="266ED319">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401" w:type="dxa"/>
            <w:vAlign w:val="center"/>
          </w:tcPr>
          <w:p w14:paraId="3B51D2A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工程项目</w:t>
            </w:r>
          </w:p>
        </w:tc>
        <w:tc>
          <w:tcPr>
            <w:tcW w:w="2322" w:type="dxa"/>
            <w:vAlign w:val="center"/>
          </w:tcPr>
          <w:p w14:paraId="3EA2F3D4">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奖项名称</w:t>
            </w:r>
          </w:p>
        </w:tc>
        <w:tc>
          <w:tcPr>
            <w:tcW w:w="2322" w:type="dxa"/>
            <w:vAlign w:val="center"/>
          </w:tcPr>
          <w:p w14:paraId="7F10144A">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获奖时间</w:t>
            </w:r>
          </w:p>
        </w:tc>
      </w:tr>
      <w:tr w14:paraId="76D5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42" w:type="dxa"/>
            <w:vAlign w:val="center"/>
          </w:tcPr>
          <w:p w14:paraId="2CAED98F">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350F62C1">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72A96026">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7A45F23C">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631C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42" w:type="dxa"/>
            <w:vAlign w:val="center"/>
          </w:tcPr>
          <w:p w14:paraId="0AAFA06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3EAE2A33">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1574FF95">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7025DCDE">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21BEE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42" w:type="dxa"/>
            <w:vAlign w:val="center"/>
          </w:tcPr>
          <w:p w14:paraId="41BF46FC">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0B0CEC1B">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23BDB2EA">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4AECA62A">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bl>
    <w:p w14:paraId="75F934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注：</w:t>
      </w:r>
    </w:p>
    <w:p w14:paraId="7B4E2C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请附奖项证明资料复印件（具体要求见本招标文件第三章评标办法）</w:t>
      </w:r>
      <w:r>
        <w:rPr>
          <w:rFonts w:hint="eastAsia" w:ascii="宋体" w:hAnsi="宋体" w:eastAsia="宋体" w:cs="宋体"/>
          <w:color w:val="auto"/>
          <w:szCs w:val="21"/>
          <w:highlight w:val="none"/>
          <w:lang w:eastAsia="zh-CN"/>
        </w:rPr>
        <w:t>；</w:t>
      </w:r>
    </w:p>
    <w:p w14:paraId="4994FA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2.省</w:t>
      </w:r>
      <w:r>
        <w:rPr>
          <w:rFonts w:hint="eastAsia" w:ascii="宋体" w:hAnsi="宋体" w:eastAsia="宋体" w:cs="宋体"/>
          <w:color w:val="auto"/>
          <w:szCs w:val="21"/>
          <w:highlight w:val="none"/>
        </w:rPr>
        <w:t>外由省级建设行政主管部门或省级建筑业协会评定的综合工程质量奖项，</w:t>
      </w:r>
      <w:r>
        <w:rPr>
          <w:rFonts w:hint="eastAsia" w:ascii="宋体" w:hAnsi="宋体" w:eastAsia="宋体" w:cs="宋体"/>
          <w:color w:val="auto"/>
          <w:szCs w:val="21"/>
          <w:highlight w:val="none"/>
          <w:lang w:val="en-US" w:eastAsia="zh-CN"/>
        </w:rPr>
        <w:t>须提供</w:t>
      </w:r>
      <w:r>
        <w:rPr>
          <w:rFonts w:hint="eastAsia" w:ascii="宋体" w:hAnsi="宋体" w:eastAsia="宋体" w:cs="宋体"/>
          <w:color w:val="auto"/>
          <w:szCs w:val="21"/>
          <w:highlight w:val="none"/>
        </w:rPr>
        <w:t>当地省级建设行政主管部门发布的评标办法</w:t>
      </w:r>
      <w:r>
        <w:rPr>
          <w:rFonts w:hint="eastAsia" w:ascii="宋体" w:hAnsi="宋体" w:eastAsia="宋体" w:cs="宋体"/>
          <w:color w:val="auto"/>
          <w:szCs w:val="21"/>
          <w:highlight w:val="none"/>
          <w:lang w:val="en-US" w:eastAsia="zh-CN"/>
        </w:rPr>
        <w:t>文件复印件及官网查询截图</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证明</w:t>
      </w:r>
      <w:r>
        <w:rPr>
          <w:rFonts w:hint="eastAsia" w:ascii="宋体" w:hAnsi="宋体" w:eastAsia="宋体" w:cs="宋体"/>
          <w:color w:val="auto"/>
          <w:szCs w:val="21"/>
          <w:highlight w:val="none"/>
        </w:rPr>
        <w:t>每年该综合工程质量奖项数量控制在 100 项以内 (含)的</w:t>
      </w:r>
      <w:r>
        <w:rPr>
          <w:rFonts w:hint="eastAsia" w:ascii="宋体" w:hAnsi="宋体" w:eastAsia="宋体" w:cs="宋体"/>
          <w:color w:val="auto"/>
          <w:szCs w:val="21"/>
          <w:highlight w:val="none"/>
          <w:lang w:val="en-US" w:eastAsia="zh-CN"/>
        </w:rPr>
        <w:t>文件复印件（如有）</w:t>
      </w:r>
      <w:r>
        <w:rPr>
          <w:rFonts w:hint="eastAsia" w:ascii="宋体" w:hAnsi="宋体" w:eastAsia="宋体" w:cs="宋体"/>
          <w:color w:val="auto"/>
          <w:szCs w:val="21"/>
          <w:highlight w:val="none"/>
          <w:lang w:eastAsia="zh-CN"/>
        </w:rPr>
        <w:t>；</w:t>
      </w:r>
    </w:p>
    <w:p w14:paraId="3DCA90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获奖文件能够分辨专业类别的，以获奖文件为准；获奖文件中无法分辨专业类别的，</w:t>
      </w:r>
      <w:r>
        <w:rPr>
          <w:rFonts w:hint="eastAsia" w:ascii="宋体" w:hAnsi="宋体" w:eastAsia="宋体" w:cs="宋体"/>
          <w:color w:val="auto"/>
          <w:szCs w:val="21"/>
          <w:highlight w:val="none"/>
          <w:lang w:val="en-US" w:eastAsia="zh-CN"/>
        </w:rPr>
        <w:t>须提供</w:t>
      </w:r>
      <w:r>
        <w:rPr>
          <w:rFonts w:hint="eastAsia" w:ascii="宋体" w:hAnsi="宋体" w:eastAsia="宋体" w:cs="宋体"/>
          <w:color w:val="auto"/>
          <w:szCs w:val="21"/>
          <w:highlight w:val="none"/>
        </w:rPr>
        <w:t>奖项申报材料（省级相应行政主管部门、省级协会盖章的相应材料）；仍然无法辨别专业类别的，须提供获奖项目的中标通知书或合同作为证明材料。</w:t>
      </w:r>
    </w:p>
    <w:p w14:paraId="51C9EE60">
      <w:pPr>
        <w:rPr>
          <w:rFonts w:hint="eastAsia" w:ascii="宋体" w:hAnsi="宋体" w:eastAsia="宋体" w:cs="宋体"/>
          <w:color w:val="auto"/>
          <w:highlight w:val="none"/>
        </w:rPr>
      </w:pPr>
    </w:p>
    <w:p w14:paraId="61AFF55A">
      <w:pPr>
        <w:rPr>
          <w:rFonts w:hint="eastAsia" w:ascii="宋体" w:hAnsi="宋体" w:eastAsia="宋体" w:cs="宋体"/>
          <w:color w:val="auto"/>
          <w:highlight w:val="none"/>
        </w:rPr>
      </w:pPr>
    </w:p>
    <w:p w14:paraId="0AB52D68">
      <w:pPr>
        <w:pStyle w:val="10"/>
        <w:jc w:val="left"/>
        <w:rPr>
          <w:rFonts w:hint="eastAsia" w:ascii="宋体" w:hAnsi="宋体" w:eastAsia="宋体" w:cs="宋体"/>
          <w:b w:val="0"/>
          <w:bCs w:val="0"/>
          <w:color w:val="auto"/>
          <w:sz w:val="24"/>
          <w:highlight w:val="none"/>
        </w:rPr>
      </w:pPr>
      <w:bookmarkStart w:id="1469" w:name="_Toc32208"/>
      <w:r>
        <w:rPr>
          <w:rFonts w:hint="eastAsia" w:ascii="宋体" w:hAnsi="宋体" w:eastAsia="宋体" w:cs="宋体"/>
          <w:b w:val="0"/>
          <w:bCs w:val="0"/>
          <w:color w:val="auto"/>
          <w:sz w:val="24"/>
          <w:highlight w:val="none"/>
        </w:rPr>
        <w:t>（5）投标人标准化工地情况</w:t>
      </w:r>
      <w:bookmarkEnd w:id="1469"/>
    </w:p>
    <w:tbl>
      <w:tblPr>
        <w:tblStyle w:val="42"/>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401"/>
        <w:gridCol w:w="2322"/>
        <w:gridCol w:w="2322"/>
      </w:tblGrid>
      <w:tr w14:paraId="5CC4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42" w:type="dxa"/>
            <w:vAlign w:val="center"/>
          </w:tcPr>
          <w:p w14:paraId="38F1D580">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401" w:type="dxa"/>
            <w:vAlign w:val="center"/>
          </w:tcPr>
          <w:p w14:paraId="18655327">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工程项目</w:t>
            </w:r>
          </w:p>
        </w:tc>
        <w:tc>
          <w:tcPr>
            <w:tcW w:w="2322" w:type="dxa"/>
            <w:vAlign w:val="center"/>
          </w:tcPr>
          <w:p w14:paraId="7B47DD1A">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标准化工地名称</w:t>
            </w:r>
          </w:p>
        </w:tc>
        <w:tc>
          <w:tcPr>
            <w:tcW w:w="2322" w:type="dxa"/>
            <w:vAlign w:val="center"/>
          </w:tcPr>
          <w:p w14:paraId="59646CAD">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highlight w:val="none"/>
              </w:rPr>
              <w:t>获得时间</w:t>
            </w:r>
          </w:p>
        </w:tc>
      </w:tr>
      <w:tr w14:paraId="42D8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42" w:type="dxa"/>
            <w:vAlign w:val="center"/>
          </w:tcPr>
          <w:p w14:paraId="1FC1D50C">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5D3090E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432C86E9">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2A9FCB27">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352A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42" w:type="dxa"/>
            <w:vAlign w:val="center"/>
          </w:tcPr>
          <w:p w14:paraId="3BCCE5FE">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0C47457B">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4C1B6B94">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2981480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12B4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242" w:type="dxa"/>
            <w:vAlign w:val="center"/>
          </w:tcPr>
          <w:p w14:paraId="33E1D30B">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401" w:type="dxa"/>
            <w:vAlign w:val="center"/>
          </w:tcPr>
          <w:p w14:paraId="0ACE0A41">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15CA787B">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2322" w:type="dxa"/>
            <w:vAlign w:val="center"/>
          </w:tcPr>
          <w:p w14:paraId="655589A5">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bl>
    <w:p w14:paraId="592603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注：</w:t>
      </w:r>
      <w:r>
        <w:rPr>
          <w:rFonts w:hint="eastAsia" w:ascii="宋体" w:hAnsi="宋体" w:eastAsia="宋体" w:cs="宋体"/>
          <w:color w:val="auto"/>
          <w:szCs w:val="21"/>
          <w:highlight w:val="none"/>
        </w:rPr>
        <w:t>请附标准化工地证明资料复印件（具体要求见本招标文件第三章评标办法）。</w:t>
      </w:r>
    </w:p>
    <w:p w14:paraId="443B6E2E">
      <w:pPr>
        <w:rPr>
          <w:rFonts w:hint="eastAsia" w:ascii="宋体" w:hAnsi="宋体" w:eastAsia="宋体" w:cs="宋体"/>
          <w:color w:val="auto"/>
          <w:highlight w:val="none"/>
        </w:rPr>
      </w:pPr>
    </w:p>
    <w:p w14:paraId="292A7EFE">
      <w:pPr>
        <w:rPr>
          <w:rFonts w:hint="eastAsia" w:ascii="宋体" w:hAnsi="宋体" w:eastAsia="宋体" w:cs="宋体"/>
          <w:color w:val="auto"/>
          <w:highlight w:val="none"/>
        </w:rPr>
      </w:pPr>
    </w:p>
    <w:p w14:paraId="3ACDE639">
      <w:pPr>
        <w:rPr>
          <w:rFonts w:hint="eastAsia" w:ascii="宋体" w:hAnsi="宋体" w:eastAsia="宋体" w:cs="宋体"/>
          <w:color w:val="auto"/>
          <w:highlight w:val="none"/>
        </w:rPr>
      </w:pPr>
    </w:p>
    <w:p w14:paraId="7BCDA6F3">
      <w:pPr>
        <w:pStyle w:val="10"/>
        <w:jc w:val="both"/>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br w:type="page"/>
      </w:r>
      <w:bookmarkStart w:id="1470" w:name="_Toc373"/>
      <w:bookmarkStart w:id="1471" w:name="_Hlk53733018"/>
      <w:r>
        <w:rPr>
          <w:rFonts w:hint="eastAsia" w:ascii="宋体" w:hAnsi="宋体" w:eastAsia="宋体" w:cs="宋体"/>
          <w:b w:val="0"/>
          <w:bCs w:val="0"/>
          <w:color w:val="auto"/>
          <w:sz w:val="24"/>
          <w:highlight w:val="none"/>
        </w:rPr>
        <w:t>（6）投标人信用评价情况</w:t>
      </w:r>
      <w:bookmarkEnd w:id="1470"/>
      <w:bookmarkEnd w:id="1471"/>
    </w:p>
    <w:p w14:paraId="766E5B4E">
      <w:pPr>
        <w:ind w:firstLine="435"/>
        <w:rPr>
          <w:rFonts w:hint="eastAsia" w:ascii="宋体" w:hAnsi="宋体" w:eastAsia="宋体" w:cs="宋体"/>
          <w:color w:val="auto"/>
          <w:szCs w:val="21"/>
          <w:highlight w:val="none"/>
        </w:rPr>
      </w:pPr>
    </w:p>
    <w:tbl>
      <w:tblPr>
        <w:tblStyle w:val="42"/>
        <w:tblW w:w="8960"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7"/>
        <w:gridCol w:w="5953"/>
      </w:tblGrid>
      <w:tr w14:paraId="36959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007" w:type="dxa"/>
            <w:vAlign w:val="center"/>
          </w:tcPr>
          <w:p w14:paraId="3899BCF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p w14:paraId="355C7B7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提交投标文件截止之时</w:t>
            </w:r>
          </w:p>
          <w:p w14:paraId="69DF47F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最新公</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的信用评价结果</w:t>
            </w:r>
          </w:p>
          <w:p w14:paraId="28D0EAA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5953" w:type="dxa"/>
            <w:vAlign w:val="top"/>
          </w:tcPr>
          <w:p w14:paraId="28F78706">
            <w:pPr>
              <w:keepNext w:val="0"/>
              <w:keepLines w:val="0"/>
              <w:widowControl/>
              <w:suppressLineNumbers w:val="0"/>
              <w:spacing w:before="0" w:beforeAutospacing="0" w:after="0" w:afterAutospacing="0"/>
              <w:ind w:left="0" w:right="0"/>
              <w:jc w:val="left"/>
              <w:rPr>
                <w:rFonts w:hint="eastAsia" w:ascii="宋体" w:hAnsi="宋体" w:eastAsia="宋体" w:cs="宋体"/>
                <w:color w:val="auto"/>
                <w:szCs w:val="21"/>
                <w:highlight w:val="none"/>
              </w:rPr>
            </w:pPr>
          </w:p>
          <w:p w14:paraId="6DD962EA">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请附“湖南省智慧住建云—湖南省建筑市场监管公共服务平台”上查询的信用评价结果详细信息网页截图</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省外企业无施工单位信用评价查询结果的，可以提供注册地省级住房和城乡建设部门提供的施工单位信用评价结果（百分制）作为评审依据。</w:t>
            </w:r>
          </w:p>
        </w:tc>
      </w:tr>
      <w:tr w14:paraId="2B37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007" w:type="dxa"/>
            <w:vAlign w:val="center"/>
          </w:tcPr>
          <w:p w14:paraId="2799FE9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p w14:paraId="4C6F832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未参加信用评价的投标人</w:t>
            </w:r>
          </w:p>
        </w:tc>
        <w:tc>
          <w:tcPr>
            <w:tcW w:w="5953" w:type="dxa"/>
            <w:vAlign w:val="top"/>
          </w:tcPr>
          <w:p w14:paraId="1D5B35C0">
            <w:pPr>
              <w:keepNext w:val="0"/>
              <w:keepLines w:val="0"/>
              <w:suppressLineNumbers w:val="0"/>
              <w:spacing w:before="0" w:beforeAutospacing="0" w:after="0" w:afterAutospacing="0"/>
              <w:ind w:left="0" w:right="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3194D136">
            <w:pPr>
              <w:keepNext w:val="0"/>
              <w:keepLines w:val="0"/>
              <w:suppressLineNumbers w:val="0"/>
              <w:spacing w:before="0" w:beforeAutospacing="0" w:after="0" w:afterAutospacing="0"/>
              <w:ind w:left="0" w:right="0"/>
              <w:rPr>
                <w:rFonts w:hint="eastAsia" w:ascii="宋体" w:hAnsi="宋体" w:eastAsia="宋体" w:cs="宋体"/>
                <w:color w:val="auto"/>
                <w:highlight w:val="none"/>
              </w:rPr>
            </w:pPr>
          </w:p>
          <w:p w14:paraId="402C41D5">
            <w:pPr>
              <w:keepNext w:val="0"/>
              <w:keepLines w:val="0"/>
              <w:suppressLineNumbers w:val="0"/>
              <w:spacing w:before="0" w:beforeAutospacing="0" w:after="0" w:afterAutospacing="0"/>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注：</w:t>
            </w:r>
            <w:r>
              <w:rPr>
                <w:rFonts w:hint="eastAsia" w:ascii="宋体" w:hAnsi="宋体" w:eastAsia="宋体" w:cs="宋体"/>
                <w:color w:val="auto"/>
                <w:szCs w:val="21"/>
                <w:highlight w:val="none"/>
              </w:rPr>
              <w:t>未参加信用评价的投标人</w:t>
            </w:r>
            <w:r>
              <w:rPr>
                <w:rFonts w:hint="eastAsia" w:ascii="宋体" w:hAnsi="宋体" w:eastAsia="宋体" w:cs="宋体"/>
                <w:color w:val="auto"/>
                <w:highlight w:val="none"/>
              </w:rPr>
              <w:t>请填写“未参加”，</w:t>
            </w:r>
            <w:r>
              <w:rPr>
                <w:rFonts w:hint="eastAsia" w:ascii="宋体" w:hAnsi="宋体" w:eastAsia="宋体" w:cs="宋体"/>
                <w:color w:val="auto"/>
                <w:szCs w:val="21"/>
                <w:highlight w:val="none"/>
              </w:rPr>
              <w:t>已参加信用评价的投标人</w:t>
            </w:r>
            <w:r>
              <w:rPr>
                <w:rFonts w:hint="eastAsia" w:ascii="宋体" w:hAnsi="宋体" w:eastAsia="宋体" w:cs="宋体"/>
                <w:color w:val="auto"/>
                <w:highlight w:val="none"/>
              </w:rPr>
              <w:t>请填写“\”。</w:t>
            </w:r>
          </w:p>
        </w:tc>
      </w:tr>
    </w:tbl>
    <w:p w14:paraId="499AD652">
      <w:pPr>
        <w:rPr>
          <w:rFonts w:hint="eastAsia" w:ascii="宋体" w:hAnsi="宋体" w:eastAsia="宋体" w:cs="宋体"/>
          <w:color w:val="auto"/>
          <w:highlight w:val="none"/>
        </w:rPr>
      </w:pPr>
    </w:p>
    <w:p w14:paraId="453AEBBE">
      <w:pPr>
        <w:rPr>
          <w:rFonts w:hint="eastAsia" w:ascii="宋体" w:hAnsi="宋体" w:eastAsia="宋体" w:cs="宋体"/>
          <w:color w:val="auto"/>
          <w:highlight w:val="none"/>
          <w:lang w:val="zh-CN"/>
        </w:rPr>
      </w:pPr>
    </w:p>
    <w:p w14:paraId="734A2629">
      <w:pPr>
        <w:pStyle w:val="10"/>
        <w:jc w:val="left"/>
        <w:rPr>
          <w:rFonts w:hint="eastAsia" w:ascii="宋体" w:hAnsi="宋体" w:eastAsia="宋体" w:cs="宋体"/>
          <w:b w:val="0"/>
          <w:bCs w:val="0"/>
          <w:color w:val="auto"/>
          <w:sz w:val="24"/>
          <w:highlight w:val="none"/>
        </w:rPr>
      </w:pPr>
      <w:bookmarkStart w:id="1472" w:name="_Toc17434"/>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）投标人施工项目季度考评综合优良率情况</w:t>
      </w:r>
      <w:bookmarkEnd w:id="1472"/>
    </w:p>
    <w:p w14:paraId="693212BB">
      <w:pPr>
        <w:rPr>
          <w:rFonts w:hint="eastAsia" w:ascii="宋体" w:hAnsi="宋体" w:eastAsia="宋体" w:cs="宋体"/>
          <w:color w:val="auto"/>
          <w:szCs w:val="21"/>
          <w:highlight w:val="none"/>
        </w:rPr>
      </w:pPr>
    </w:p>
    <w:tbl>
      <w:tblPr>
        <w:tblStyle w:val="42"/>
        <w:tblW w:w="8960"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7"/>
        <w:gridCol w:w="5953"/>
      </w:tblGrid>
      <w:tr w14:paraId="5A6A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007" w:type="dxa"/>
            <w:vAlign w:val="center"/>
          </w:tcPr>
          <w:p w14:paraId="4C6FEBC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提交投标文件截止之时</w:t>
            </w:r>
          </w:p>
          <w:p w14:paraId="01AE3F9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最新公布的</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评价结果</w:t>
            </w:r>
          </w:p>
        </w:tc>
        <w:tc>
          <w:tcPr>
            <w:tcW w:w="5953" w:type="dxa"/>
            <w:vAlign w:val="center"/>
          </w:tcPr>
          <w:p w14:paraId="77642212">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请附“湖南省智慧住建云—湖南省建筑市场监管公共服务平台”上查询的</w:t>
            </w:r>
            <w:r>
              <w:rPr>
                <w:rFonts w:hint="eastAsia" w:ascii="宋体" w:hAnsi="宋体" w:eastAsia="宋体" w:cs="宋体"/>
                <w:bCs w:val="0"/>
                <w:color w:val="auto"/>
                <w:szCs w:val="21"/>
                <w:highlight w:val="none"/>
              </w:rPr>
              <w:t>企业</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bCs w:val="0"/>
                <w:color w:val="auto"/>
                <w:szCs w:val="21"/>
                <w:highlight w:val="none"/>
              </w:rPr>
              <w:t>评价结果</w:t>
            </w:r>
            <w:r>
              <w:rPr>
                <w:rFonts w:hint="eastAsia" w:ascii="宋体" w:hAnsi="宋体" w:eastAsia="宋体" w:cs="宋体"/>
                <w:color w:val="auto"/>
                <w:szCs w:val="21"/>
                <w:highlight w:val="none"/>
              </w:rPr>
              <w:t>详细信息网页截图</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省外企业无</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查询结果的，可以提供注册地省级住房和城乡建设部门提供的企业</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得分作为评审依据</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官网查询截图）</w:t>
            </w:r>
            <w:r>
              <w:rPr>
                <w:rFonts w:hint="eastAsia" w:ascii="宋体" w:hAnsi="宋体" w:eastAsia="宋体" w:cs="宋体"/>
                <w:color w:val="auto"/>
                <w:szCs w:val="21"/>
                <w:highlight w:val="none"/>
                <w:lang w:eastAsia="zh-CN"/>
              </w:rPr>
              <w:t>。</w:t>
            </w:r>
          </w:p>
        </w:tc>
      </w:tr>
      <w:tr w14:paraId="48B0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007" w:type="dxa"/>
            <w:vAlign w:val="center"/>
          </w:tcPr>
          <w:p w14:paraId="3A97DA3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p w14:paraId="2FCAC01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没有参加</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评价的投标人</w:t>
            </w:r>
          </w:p>
        </w:tc>
        <w:tc>
          <w:tcPr>
            <w:tcW w:w="5953" w:type="dxa"/>
            <w:vAlign w:val="top"/>
          </w:tcPr>
          <w:p w14:paraId="65EEFED0">
            <w:pPr>
              <w:keepNext w:val="0"/>
              <w:keepLines w:val="0"/>
              <w:suppressLineNumbers w:val="0"/>
              <w:spacing w:before="0" w:beforeAutospacing="0" w:after="0" w:afterAutospacing="0"/>
              <w:ind w:left="0" w:right="0"/>
              <w:rPr>
                <w:rFonts w:hint="eastAsia" w:ascii="宋体" w:hAnsi="宋体" w:eastAsia="宋体" w:cs="宋体"/>
                <w:color w:val="auto"/>
                <w:highlight w:val="none"/>
              </w:rPr>
            </w:pPr>
          </w:p>
          <w:p w14:paraId="08BD2742">
            <w:pPr>
              <w:keepNext w:val="0"/>
              <w:keepLines w:val="0"/>
              <w:suppressLineNumbers w:val="0"/>
              <w:spacing w:before="0" w:beforeAutospacing="0" w:after="0" w:afterAutospacing="0"/>
              <w:ind w:left="0" w:right="0"/>
              <w:rPr>
                <w:rFonts w:hint="eastAsia" w:ascii="宋体" w:hAnsi="宋体" w:eastAsia="宋体" w:cs="宋体"/>
                <w:color w:val="auto"/>
                <w:highlight w:val="none"/>
              </w:rPr>
            </w:pPr>
          </w:p>
          <w:p w14:paraId="2BB84DCE">
            <w:pPr>
              <w:keepNext w:val="0"/>
              <w:keepLines w:val="0"/>
              <w:suppressLineNumbers w:val="0"/>
              <w:spacing w:before="0" w:beforeAutospacing="0" w:after="0" w:afterAutospacing="0"/>
              <w:ind w:left="0" w:right="0"/>
              <w:rPr>
                <w:rFonts w:hint="eastAsia" w:ascii="宋体" w:hAnsi="宋体" w:eastAsia="宋体" w:cs="宋体"/>
                <w:color w:val="auto"/>
                <w:highlight w:val="none"/>
              </w:rPr>
            </w:pPr>
          </w:p>
          <w:p w14:paraId="13887E2A">
            <w:pPr>
              <w:keepNext w:val="0"/>
              <w:keepLines w:val="0"/>
              <w:suppressLineNumbers w:val="0"/>
              <w:spacing w:before="0" w:beforeAutospacing="0" w:after="0" w:afterAutospacing="0"/>
              <w:ind w:left="0" w:right="0"/>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1E62D700">
            <w:pPr>
              <w:keepNext w:val="0"/>
              <w:keepLines w:val="0"/>
              <w:suppressLineNumbers w:val="0"/>
              <w:spacing w:before="0" w:beforeAutospacing="0" w:after="0" w:afterAutospacing="0"/>
              <w:ind w:left="0" w:right="0"/>
              <w:rPr>
                <w:rFonts w:hint="eastAsia" w:ascii="宋体" w:hAnsi="宋体" w:eastAsia="宋体" w:cs="宋体"/>
                <w:color w:val="auto"/>
                <w:highlight w:val="none"/>
              </w:rPr>
            </w:pPr>
          </w:p>
          <w:p w14:paraId="65415D0D">
            <w:pPr>
              <w:keepNext w:val="0"/>
              <w:keepLines w:val="0"/>
              <w:suppressLineNumbers w:val="0"/>
              <w:spacing w:before="0" w:beforeAutospacing="0" w:after="0" w:afterAutospacing="0"/>
              <w:ind w:left="0" w:right="0"/>
              <w:rPr>
                <w:rFonts w:hint="eastAsia" w:ascii="宋体" w:hAnsi="宋体" w:eastAsia="宋体" w:cs="宋体"/>
                <w:color w:val="auto"/>
                <w:szCs w:val="21"/>
                <w:highlight w:val="none"/>
              </w:rPr>
            </w:pPr>
            <w:r>
              <w:rPr>
                <w:rFonts w:hint="eastAsia" w:ascii="宋体" w:hAnsi="宋体" w:eastAsia="宋体" w:cs="宋体"/>
                <w:color w:val="auto"/>
                <w:highlight w:val="none"/>
              </w:rPr>
              <w:t>注：</w:t>
            </w:r>
            <w:r>
              <w:rPr>
                <w:rFonts w:hint="eastAsia" w:ascii="宋体" w:hAnsi="宋体" w:eastAsia="宋体" w:cs="宋体"/>
                <w:color w:val="auto"/>
                <w:szCs w:val="21"/>
                <w:highlight w:val="none"/>
              </w:rPr>
              <w:t>没有参加</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评价的投标人请填写“未参加”，已参加</w:t>
            </w:r>
            <w:r>
              <w:rPr>
                <w:rFonts w:hint="eastAsia" w:ascii="宋体" w:hAnsi="宋体" w:eastAsia="宋体" w:cs="宋体"/>
                <w:color w:val="auto"/>
                <w:kern w:val="0"/>
                <w:szCs w:val="21"/>
                <w:highlight w:val="none"/>
              </w:rPr>
              <w:t>施工项目季度考评综合优良率</w:t>
            </w:r>
            <w:r>
              <w:rPr>
                <w:rFonts w:hint="eastAsia" w:ascii="宋体" w:hAnsi="宋体" w:eastAsia="宋体" w:cs="宋体"/>
                <w:color w:val="auto"/>
                <w:szCs w:val="21"/>
                <w:highlight w:val="none"/>
              </w:rPr>
              <w:t>评价的投标人请填写“\”。</w:t>
            </w:r>
          </w:p>
        </w:tc>
      </w:tr>
    </w:tbl>
    <w:p w14:paraId="680BC953">
      <w:pPr>
        <w:rPr>
          <w:rFonts w:hint="eastAsia" w:ascii="宋体" w:hAnsi="宋体" w:eastAsia="宋体" w:cs="宋体"/>
          <w:color w:val="auto"/>
          <w:highlight w:val="none"/>
        </w:rPr>
      </w:pPr>
    </w:p>
    <w:p w14:paraId="0201C20F">
      <w:pPr>
        <w:rPr>
          <w:rFonts w:hint="eastAsia" w:ascii="宋体" w:hAnsi="宋体" w:eastAsia="宋体" w:cs="宋体"/>
          <w:color w:val="auto"/>
          <w:highlight w:val="none"/>
        </w:rPr>
      </w:pPr>
    </w:p>
    <w:p w14:paraId="38077962">
      <w:pPr>
        <w:rPr>
          <w:rFonts w:hint="eastAsia" w:ascii="宋体" w:hAnsi="宋体" w:eastAsia="宋体" w:cs="宋体"/>
          <w:color w:val="auto"/>
          <w:highlight w:val="none"/>
        </w:rPr>
      </w:pPr>
    </w:p>
    <w:p w14:paraId="305749D9">
      <w:pPr>
        <w:rPr>
          <w:rFonts w:hint="eastAsia" w:ascii="宋体" w:hAnsi="宋体" w:eastAsia="宋体" w:cs="宋体"/>
          <w:color w:val="auto"/>
          <w:highlight w:val="none"/>
        </w:rPr>
      </w:pPr>
    </w:p>
    <w:p w14:paraId="679A46C9">
      <w:pPr>
        <w:pStyle w:val="10"/>
        <w:jc w:val="left"/>
        <w:rPr>
          <w:rFonts w:hint="eastAsia" w:ascii="宋体" w:hAnsi="宋体" w:eastAsia="宋体" w:cs="宋体"/>
          <w:b w:val="0"/>
          <w:bCs w:val="0"/>
          <w:color w:val="auto"/>
          <w:sz w:val="24"/>
          <w:highlight w:val="none"/>
        </w:rPr>
      </w:pPr>
      <w:bookmarkStart w:id="1473" w:name="_Toc5405"/>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val="en-US" w:eastAsia="zh-CN"/>
        </w:rPr>
        <w:t>8</w:t>
      </w:r>
      <w:r>
        <w:rPr>
          <w:rFonts w:hint="eastAsia" w:ascii="宋体" w:hAnsi="宋体" w:eastAsia="宋体" w:cs="宋体"/>
          <w:b w:val="0"/>
          <w:bCs w:val="0"/>
          <w:color w:val="auto"/>
          <w:sz w:val="24"/>
          <w:highlight w:val="none"/>
        </w:rPr>
        <w:t>）</w:t>
      </w:r>
      <w:bookmarkStart w:id="1474" w:name="_Hlk53729905"/>
      <w:bookmarkStart w:id="1475" w:name="_Hlk53733054"/>
      <w:r>
        <w:rPr>
          <w:rFonts w:hint="eastAsia" w:ascii="宋体" w:hAnsi="宋体" w:eastAsia="宋体" w:cs="宋体"/>
          <w:b w:val="0"/>
          <w:bCs w:val="0"/>
          <w:color w:val="auto"/>
          <w:sz w:val="24"/>
          <w:highlight w:val="none"/>
        </w:rPr>
        <w:t>拟任项目</w:t>
      </w:r>
      <w:bookmarkStart w:id="1476" w:name="_Hlk53730093"/>
      <w:r>
        <w:rPr>
          <w:rFonts w:hint="eastAsia" w:ascii="宋体" w:hAnsi="宋体" w:eastAsia="宋体" w:cs="宋体"/>
          <w:b w:val="0"/>
          <w:bCs w:val="0"/>
          <w:color w:val="auto"/>
          <w:sz w:val="24"/>
          <w:highlight w:val="none"/>
        </w:rPr>
        <w:t>经理</w:t>
      </w:r>
      <w:bookmarkEnd w:id="1474"/>
      <w:r>
        <w:rPr>
          <w:rFonts w:hint="eastAsia" w:ascii="宋体" w:hAnsi="宋体" w:eastAsia="宋体" w:cs="宋体"/>
          <w:b w:val="0"/>
          <w:bCs w:val="0"/>
          <w:color w:val="auto"/>
          <w:sz w:val="24"/>
          <w:highlight w:val="none"/>
          <w:lang w:val="en-US" w:eastAsia="zh-CN"/>
        </w:rPr>
        <w:t>不良信用信息</w:t>
      </w:r>
      <w:r>
        <w:rPr>
          <w:rFonts w:hint="eastAsia" w:ascii="宋体" w:hAnsi="宋体" w:eastAsia="宋体" w:cs="宋体"/>
          <w:b w:val="0"/>
          <w:bCs w:val="0"/>
          <w:color w:val="auto"/>
          <w:sz w:val="24"/>
          <w:highlight w:val="none"/>
        </w:rPr>
        <w:t>证明资料</w:t>
      </w:r>
      <w:bookmarkEnd w:id="1476"/>
      <w:r>
        <w:rPr>
          <w:rFonts w:hint="eastAsia" w:ascii="宋体" w:hAnsi="宋体" w:eastAsia="宋体" w:cs="宋体"/>
          <w:b w:val="0"/>
          <w:bCs w:val="0"/>
          <w:color w:val="auto"/>
          <w:sz w:val="24"/>
          <w:highlight w:val="none"/>
        </w:rPr>
        <w:t>复印件</w:t>
      </w:r>
      <w:bookmarkEnd w:id="1473"/>
    </w:p>
    <w:bookmarkEnd w:id="1475"/>
    <w:p w14:paraId="6E72ACE8">
      <w:pPr>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说明：</w:t>
      </w:r>
      <w:r>
        <w:rPr>
          <w:rFonts w:hint="eastAsia" w:ascii="宋体" w:hAnsi="宋体" w:eastAsia="宋体" w:cs="宋体"/>
          <w:color w:val="auto"/>
          <w:highlight w:val="none"/>
          <w:lang w:val="en-US" w:eastAsia="zh-CN"/>
        </w:rPr>
        <w:t>不良信用信息</w:t>
      </w:r>
      <w:r>
        <w:rPr>
          <w:rFonts w:hint="eastAsia" w:ascii="宋体" w:hAnsi="宋体" w:eastAsia="宋体" w:cs="宋体"/>
          <w:color w:val="auto"/>
          <w:highlight w:val="none"/>
        </w:rPr>
        <w:t>证明资料具体要求见本招标文件第三章评标办法。拟任工程总承包项目负责人在扣分有效期内如无</w:t>
      </w:r>
      <w:r>
        <w:rPr>
          <w:rFonts w:hint="eastAsia" w:ascii="宋体" w:hAnsi="宋体" w:eastAsia="宋体" w:cs="宋体"/>
          <w:color w:val="auto"/>
          <w:highlight w:val="none"/>
          <w:lang w:val="en-US" w:eastAsia="zh-CN"/>
        </w:rPr>
        <w:t>不良信用信息</w:t>
      </w:r>
      <w:r>
        <w:rPr>
          <w:rFonts w:hint="eastAsia" w:ascii="宋体" w:hAnsi="宋体" w:eastAsia="宋体" w:cs="宋体"/>
          <w:color w:val="auto"/>
          <w:szCs w:val="21"/>
          <w:highlight w:val="none"/>
        </w:rPr>
        <w:t>的</w:t>
      </w:r>
      <w:r>
        <w:rPr>
          <w:rFonts w:hint="eastAsia" w:ascii="宋体" w:hAnsi="宋体" w:eastAsia="宋体" w:cs="宋体"/>
          <w:color w:val="auto"/>
          <w:highlight w:val="none"/>
        </w:rPr>
        <w:t>，投标人需注明“拟任工程总承包项目负责人在扣分有效期内无</w:t>
      </w:r>
      <w:r>
        <w:rPr>
          <w:rFonts w:hint="eastAsia" w:ascii="宋体" w:hAnsi="宋体" w:eastAsia="宋体" w:cs="宋体"/>
          <w:color w:val="auto"/>
          <w:highlight w:val="none"/>
          <w:lang w:val="en-US" w:eastAsia="zh-CN"/>
        </w:rPr>
        <w:t>不良信用信息</w:t>
      </w:r>
      <w:r>
        <w:rPr>
          <w:rFonts w:hint="eastAsia" w:ascii="宋体" w:hAnsi="宋体" w:eastAsia="宋体" w:cs="宋体"/>
          <w:color w:val="auto"/>
          <w:highlight w:val="none"/>
        </w:rPr>
        <w:t>”。</w:t>
      </w:r>
    </w:p>
    <w:p w14:paraId="0D1DB185">
      <w:pPr>
        <w:ind w:firstLine="210" w:firstLineChars="100"/>
        <w:rPr>
          <w:rFonts w:hint="eastAsia" w:ascii="宋体" w:hAnsi="宋体" w:eastAsia="宋体" w:cs="宋体"/>
          <w:color w:val="auto"/>
          <w:highlight w:val="none"/>
        </w:rPr>
      </w:pPr>
    </w:p>
    <w:p w14:paraId="60A5BBAA">
      <w:pPr>
        <w:ind w:firstLine="210" w:firstLineChars="100"/>
        <w:rPr>
          <w:rFonts w:hint="eastAsia" w:ascii="宋体" w:hAnsi="宋体" w:eastAsia="宋体" w:cs="宋体"/>
          <w:color w:val="auto"/>
          <w:highlight w:val="none"/>
        </w:rPr>
        <w:sectPr>
          <w:pgSz w:w="11907" w:h="16840"/>
          <w:pgMar w:top="1418" w:right="1418" w:bottom="1418" w:left="1418" w:header="851" w:footer="992" w:gutter="0"/>
          <w:cols w:space="720" w:num="1"/>
          <w:docGrid w:linePitch="326" w:charSpace="0"/>
        </w:sectPr>
      </w:pPr>
    </w:p>
    <w:p w14:paraId="73FD8256">
      <w:pPr>
        <w:pStyle w:val="8"/>
        <w:jc w:val="center"/>
        <w:rPr>
          <w:rFonts w:hint="eastAsia" w:ascii="宋体" w:hAnsi="宋体" w:eastAsia="宋体" w:cs="宋体"/>
          <w:b w:val="0"/>
          <w:bCs w:val="0"/>
          <w:color w:val="auto"/>
          <w:sz w:val="30"/>
          <w:highlight w:val="none"/>
        </w:rPr>
      </w:pPr>
      <w:bookmarkStart w:id="1477" w:name="_Toc80006161"/>
      <w:bookmarkStart w:id="1478" w:name="_Toc69199942"/>
      <w:bookmarkStart w:id="1479" w:name="_Toc20779"/>
      <w:bookmarkStart w:id="1480" w:name="_Toc13287"/>
      <w:bookmarkStart w:id="1481" w:name="_Toc19447"/>
      <w:bookmarkStart w:id="1482" w:name="_Toc80006271"/>
      <w:bookmarkStart w:id="1483" w:name="_Toc461"/>
      <w:bookmarkStart w:id="1484" w:name="_Hlk53733080"/>
      <w:r>
        <w:rPr>
          <w:rFonts w:hint="eastAsia" w:ascii="宋体" w:hAnsi="宋体" w:eastAsia="宋体" w:cs="宋体"/>
          <w:b w:val="0"/>
          <w:bCs w:val="0"/>
          <w:color w:val="auto"/>
          <w:sz w:val="30"/>
          <w:highlight w:val="none"/>
        </w:rPr>
        <w:t>9.企业资信及履约能力（业绩及信用）自评表</w:t>
      </w:r>
      <w:bookmarkEnd w:id="1477"/>
      <w:bookmarkEnd w:id="1478"/>
      <w:bookmarkEnd w:id="1479"/>
      <w:bookmarkEnd w:id="1480"/>
      <w:bookmarkEnd w:id="1481"/>
      <w:bookmarkEnd w:id="1482"/>
      <w:bookmarkEnd w:id="1483"/>
    </w:p>
    <w:bookmarkEnd w:id="1484"/>
    <w:tbl>
      <w:tblPr>
        <w:tblStyle w:val="42"/>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2"/>
        <w:gridCol w:w="615"/>
        <w:gridCol w:w="15"/>
        <w:gridCol w:w="1115"/>
        <w:gridCol w:w="3828"/>
        <w:gridCol w:w="1426"/>
      </w:tblGrid>
      <w:tr w14:paraId="421E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exact"/>
        </w:trPr>
        <w:tc>
          <w:tcPr>
            <w:tcW w:w="2332" w:type="dxa"/>
            <w:vAlign w:val="center"/>
          </w:tcPr>
          <w:p w14:paraId="1E084B66">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评审对象</w:t>
            </w:r>
          </w:p>
        </w:tc>
        <w:tc>
          <w:tcPr>
            <w:tcW w:w="5573" w:type="dxa"/>
            <w:gridSpan w:val="4"/>
            <w:vAlign w:val="center"/>
          </w:tcPr>
          <w:p w14:paraId="740E280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评审内容</w:t>
            </w:r>
          </w:p>
          <w:p w14:paraId="32B356D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（项目名称、奖项名称）</w:t>
            </w:r>
          </w:p>
        </w:tc>
        <w:tc>
          <w:tcPr>
            <w:tcW w:w="1426" w:type="dxa"/>
            <w:vAlign w:val="center"/>
          </w:tcPr>
          <w:p w14:paraId="595E0B7D">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材料所在的页码</w:t>
            </w:r>
          </w:p>
        </w:tc>
      </w:tr>
      <w:tr w14:paraId="247BB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restart"/>
            <w:vAlign w:val="center"/>
          </w:tcPr>
          <w:p w14:paraId="77D1A5E3">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独立投标人（施工资质）或联合体中施工单位</w:t>
            </w:r>
          </w:p>
        </w:tc>
        <w:tc>
          <w:tcPr>
            <w:tcW w:w="630" w:type="dxa"/>
            <w:gridSpan w:val="2"/>
            <w:vMerge w:val="restart"/>
            <w:vAlign w:val="center"/>
          </w:tcPr>
          <w:p w14:paraId="5B2E834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奖项</w:t>
            </w:r>
          </w:p>
        </w:tc>
        <w:tc>
          <w:tcPr>
            <w:tcW w:w="1115" w:type="dxa"/>
            <w:vMerge w:val="restart"/>
            <w:vAlign w:val="center"/>
          </w:tcPr>
          <w:p w14:paraId="0DB1EA90">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国家级</w:t>
            </w:r>
          </w:p>
        </w:tc>
        <w:tc>
          <w:tcPr>
            <w:tcW w:w="3828" w:type="dxa"/>
            <w:vAlign w:val="center"/>
          </w:tcPr>
          <w:p w14:paraId="05C4EE63">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2832632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72F9B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5303F1F1">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072F3777">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01B62999">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42AD3DB9">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1D23D37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0A86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5D2554A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2CBFB609">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782B8A1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3AEF1D4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19B7EB3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4F50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16A816D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14B886D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restart"/>
            <w:vAlign w:val="center"/>
          </w:tcPr>
          <w:p w14:paraId="105E1461">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省级</w:t>
            </w:r>
          </w:p>
        </w:tc>
        <w:tc>
          <w:tcPr>
            <w:tcW w:w="3828" w:type="dxa"/>
            <w:vAlign w:val="center"/>
          </w:tcPr>
          <w:p w14:paraId="0F1A9075">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3755B385">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3E68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2A550A6F">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2307080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0D2015A6">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0F3C7B5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27C9CD2F">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15A2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741200F0">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16AF075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34C077E3">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59BE9C0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6B83C7C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2CF4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7B76DC77">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restart"/>
            <w:vAlign w:val="center"/>
          </w:tcPr>
          <w:p w14:paraId="75489D9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标准化工地</w:t>
            </w:r>
          </w:p>
        </w:tc>
        <w:tc>
          <w:tcPr>
            <w:tcW w:w="1115" w:type="dxa"/>
            <w:vMerge w:val="restart"/>
            <w:vAlign w:val="center"/>
          </w:tcPr>
          <w:p w14:paraId="40EDA46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国家级</w:t>
            </w:r>
          </w:p>
        </w:tc>
        <w:tc>
          <w:tcPr>
            <w:tcW w:w="3828" w:type="dxa"/>
            <w:vAlign w:val="center"/>
          </w:tcPr>
          <w:p w14:paraId="6FA28FB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214EE0B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3F0E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38D3FD87">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21104EB2">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2F2D1969">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3904BA0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3EEE50A1">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4C84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3A35F7C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02E4670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5B3B12BF">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45166586">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052348F7">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1B022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59B8BB25">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12BD8714">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7270175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14579DE0">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08C27630">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2245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0CB0121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5D294BC5">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restart"/>
            <w:vAlign w:val="center"/>
          </w:tcPr>
          <w:p w14:paraId="07A836E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r>
              <w:rPr>
                <w:rFonts w:hint="eastAsia" w:ascii="宋体" w:hAnsi="宋体" w:eastAsia="宋体" w:cs="宋体"/>
                <w:color w:val="auto"/>
                <w:sz w:val="18"/>
                <w:szCs w:val="21"/>
                <w:highlight w:val="none"/>
              </w:rPr>
              <w:t>省级</w:t>
            </w:r>
          </w:p>
        </w:tc>
        <w:tc>
          <w:tcPr>
            <w:tcW w:w="3828" w:type="dxa"/>
            <w:vAlign w:val="center"/>
          </w:tcPr>
          <w:p w14:paraId="420A2045">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0F8AB77E">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45B8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44CEB80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0092BE2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5304D5BF">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61E211D8">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6257CEEE">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0C74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12C105BA">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630" w:type="dxa"/>
            <w:gridSpan w:val="2"/>
            <w:vMerge w:val="continue"/>
            <w:vAlign w:val="center"/>
          </w:tcPr>
          <w:p w14:paraId="4791F5BB">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115" w:type="dxa"/>
            <w:vMerge w:val="continue"/>
            <w:vAlign w:val="center"/>
          </w:tcPr>
          <w:p w14:paraId="7DBD61CD">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3828" w:type="dxa"/>
            <w:vAlign w:val="center"/>
          </w:tcPr>
          <w:p w14:paraId="7428479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c>
          <w:tcPr>
            <w:tcW w:w="1426" w:type="dxa"/>
            <w:vAlign w:val="center"/>
          </w:tcPr>
          <w:p w14:paraId="45A730CC">
            <w:pPr>
              <w:keepNext w:val="0"/>
              <w:keepLines w:val="0"/>
              <w:suppressLineNumbers w:val="0"/>
              <w:spacing w:before="0" w:beforeAutospacing="0" w:after="0" w:afterAutospacing="0"/>
              <w:ind w:left="0" w:right="0"/>
              <w:jc w:val="center"/>
              <w:rPr>
                <w:rFonts w:hint="eastAsia" w:ascii="宋体" w:hAnsi="宋体" w:eastAsia="宋体" w:cs="宋体"/>
                <w:color w:val="auto"/>
                <w:sz w:val="18"/>
                <w:szCs w:val="21"/>
                <w:highlight w:val="none"/>
              </w:rPr>
            </w:pPr>
          </w:p>
        </w:tc>
      </w:tr>
      <w:tr w14:paraId="5C1E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5BE44465">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630" w:type="dxa"/>
            <w:gridSpan w:val="2"/>
            <w:vMerge w:val="continue"/>
            <w:vAlign w:val="center"/>
          </w:tcPr>
          <w:p w14:paraId="7898B87E">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115" w:type="dxa"/>
            <w:vMerge w:val="continue"/>
            <w:vAlign w:val="center"/>
          </w:tcPr>
          <w:p w14:paraId="4840F557">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828" w:type="dxa"/>
            <w:vAlign w:val="center"/>
          </w:tcPr>
          <w:p w14:paraId="3CC6D4E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6DA66E37">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3258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1438B71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745" w:type="dxa"/>
            <w:gridSpan w:val="3"/>
            <w:vMerge w:val="restart"/>
            <w:vAlign w:val="center"/>
          </w:tcPr>
          <w:p w14:paraId="68391B61">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r>
              <w:rPr>
                <w:rFonts w:hint="eastAsia" w:ascii="宋体" w:hAnsi="宋体" w:eastAsia="宋体" w:cs="宋体"/>
                <w:color w:val="auto"/>
                <w:sz w:val="18"/>
                <w:szCs w:val="21"/>
                <w:highlight w:val="none"/>
              </w:rPr>
              <w:t>类似工程业绩</w:t>
            </w:r>
          </w:p>
        </w:tc>
        <w:tc>
          <w:tcPr>
            <w:tcW w:w="3828" w:type="dxa"/>
            <w:vAlign w:val="center"/>
          </w:tcPr>
          <w:p w14:paraId="53BDD402">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69FC679E">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4193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332" w:type="dxa"/>
            <w:vMerge w:val="continue"/>
            <w:vAlign w:val="center"/>
          </w:tcPr>
          <w:p w14:paraId="41CC2ECD">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745" w:type="dxa"/>
            <w:gridSpan w:val="3"/>
            <w:vMerge w:val="continue"/>
            <w:vAlign w:val="center"/>
          </w:tcPr>
          <w:p w14:paraId="2F586A49">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3828" w:type="dxa"/>
            <w:vAlign w:val="center"/>
          </w:tcPr>
          <w:p w14:paraId="404E639F">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35F1D827">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3FA5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332" w:type="dxa"/>
            <w:vMerge w:val="restart"/>
            <w:vAlign w:val="center"/>
          </w:tcPr>
          <w:p w14:paraId="00BDD08E">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rPr>
              <w:t>拟任项目经理</w:t>
            </w:r>
          </w:p>
        </w:tc>
        <w:tc>
          <w:tcPr>
            <w:tcW w:w="615" w:type="dxa"/>
            <w:vMerge w:val="restart"/>
            <w:vAlign w:val="center"/>
          </w:tcPr>
          <w:p w14:paraId="6478B33C">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奖项</w:t>
            </w:r>
          </w:p>
        </w:tc>
        <w:tc>
          <w:tcPr>
            <w:tcW w:w="1130" w:type="dxa"/>
            <w:gridSpan w:val="2"/>
            <w:vAlign w:val="center"/>
          </w:tcPr>
          <w:p w14:paraId="28DD93C5">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国家级</w:t>
            </w:r>
          </w:p>
        </w:tc>
        <w:tc>
          <w:tcPr>
            <w:tcW w:w="3828" w:type="dxa"/>
            <w:vAlign w:val="center"/>
          </w:tcPr>
          <w:p w14:paraId="05CE6C13">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6E46BE65">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21E0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2332" w:type="dxa"/>
            <w:vMerge w:val="continue"/>
            <w:vAlign w:val="center"/>
          </w:tcPr>
          <w:p w14:paraId="4196AA81">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p>
        </w:tc>
        <w:tc>
          <w:tcPr>
            <w:tcW w:w="615" w:type="dxa"/>
            <w:vMerge w:val="continue"/>
            <w:vAlign w:val="center"/>
          </w:tcPr>
          <w:p w14:paraId="3038B493">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p>
        </w:tc>
        <w:tc>
          <w:tcPr>
            <w:tcW w:w="1130" w:type="dxa"/>
            <w:gridSpan w:val="2"/>
            <w:vAlign w:val="center"/>
          </w:tcPr>
          <w:p w14:paraId="6B7C8724">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省级</w:t>
            </w:r>
          </w:p>
        </w:tc>
        <w:tc>
          <w:tcPr>
            <w:tcW w:w="3828" w:type="dxa"/>
            <w:vAlign w:val="center"/>
          </w:tcPr>
          <w:p w14:paraId="372457F3">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15CBCFCE">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4A81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2332" w:type="dxa"/>
            <w:vMerge w:val="continue"/>
            <w:vAlign w:val="center"/>
          </w:tcPr>
          <w:p w14:paraId="546AC7BD">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p>
        </w:tc>
        <w:tc>
          <w:tcPr>
            <w:tcW w:w="1745" w:type="dxa"/>
            <w:gridSpan w:val="3"/>
            <w:vAlign w:val="center"/>
          </w:tcPr>
          <w:p w14:paraId="6F6DEE1E">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类似工程业绩</w:t>
            </w:r>
          </w:p>
        </w:tc>
        <w:tc>
          <w:tcPr>
            <w:tcW w:w="3828" w:type="dxa"/>
            <w:vAlign w:val="center"/>
          </w:tcPr>
          <w:p w14:paraId="27959E28">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408BCBB6">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r w14:paraId="49B97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2332" w:type="dxa"/>
            <w:vMerge w:val="continue"/>
            <w:vAlign w:val="center"/>
          </w:tcPr>
          <w:p w14:paraId="2D548FD0">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rPr>
            </w:pPr>
          </w:p>
        </w:tc>
        <w:tc>
          <w:tcPr>
            <w:tcW w:w="1745" w:type="dxa"/>
            <w:gridSpan w:val="3"/>
            <w:vAlign w:val="center"/>
          </w:tcPr>
          <w:p w14:paraId="50A8952C">
            <w:pPr>
              <w:keepNext w:val="0"/>
              <w:keepLines w:val="0"/>
              <w:suppressLineNumbers w:val="0"/>
              <w:spacing w:before="0" w:beforeAutospacing="0" w:after="0" w:afterAutospacing="0"/>
              <w:ind w:left="0" w:right="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不良信用信息</w:t>
            </w:r>
          </w:p>
        </w:tc>
        <w:tc>
          <w:tcPr>
            <w:tcW w:w="3828" w:type="dxa"/>
            <w:vAlign w:val="center"/>
          </w:tcPr>
          <w:p w14:paraId="002CFE09">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c>
          <w:tcPr>
            <w:tcW w:w="1426" w:type="dxa"/>
            <w:vAlign w:val="center"/>
          </w:tcPr>
          <w:p w14:paraId="3E330D15">
            <w:pPr>
              <w:keepNext w:val="0"/>
              <w:keepLines w:val="0"/>
              <w:suppressLineNumbers w:val="0"/>
              <w:spacing w:before="0" w:beforeAutospacing="0" w:after="0" w:afterAutospacing="0"/>
              <w:ind w:left="0" w:right="0"/>
              <w:jc w:val="center"/>
              <w:rPr>
                <w:rFonts w:hint="eastAsia" w:ascii="宋体" w:hAnsi="宋体" w:eastAsia="宋体" w:cs="宋体"/>
                <w:color w:val="auto"/>
                <w:highlight w:val="none"/>
              </w:rPr>
            </w:pPr>
          </w:p>
        </w:tc>
      </w:tr>
    </w:tbl>
    <w:p w14:paraId="1B70C12E">
      <w:pPr>
        <w:rPr>
          <w:rFonts w:hint="eastAsia" w:ascii="宋体" w:hAnsi="宋体" w:eastAsia="宋体" w:cs="宋体"/>
          <w:color w:val="auto"/>
          <w:highlight w:val="none"/>
        </w:rPr>
      </w:pPr>
    </w:p>
    <w:p w14:paraId="694B6568">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6DCA959">
      <w:pPr>
        <w:pStyle w:val="8"/>
        <w:spacing w:before="0" w:after="0" w:line="360" w:lineRule="auto"/>
        <w:jc w:val="center"/>
        <w:rPr>
          <w:rFonts w:hint="eastAsia" w:ascii="宋体" w:hAnsi="宋体" w:eastAsia="宋体" w:cs="宋体"/>
          <w:b w:val="0"/>
          <w:bCs w:val="0"/>
          <w:color w:val="auto"/>
          <w:sz w:val="30"/>
          <w:szCs w:val="30"/>
          <w:highlight w:val="none"/>
        </w:rPr>
      </w:pPr>
      <w:bookmarkStart w:id="1485" w:name="_Toc80006272"/>
      <w:bookmarkStart w:id="1486" w:name="_Toc69199943"/>
      <w:bookmarkStart w:id="1487" w:name="_Toc23432"/>
      <w:bookmarkStart w:id="1488" w:name="_Toc8919"/>
      <w:bookmarkStart w:id="1489" w:name="_Toc5563"/>
      <w:bookmarkStart w:id="1490" w:name="_Toc27518"/>
      <w:bookmarkStart w:id="1491" w:name="_Toc80006162"/>
      <w:r>
        <w:rPr>
          <w:rFonts w:hint="eastAsia" w:ascii="宋体" w:hAnsi="宋体" w:eastAsia="宋体" w:cs="宋体"/>
          <w:b w:val="0"/>
          <w:bCs w:val="0"/>
          <w:color w:val="auto"/>
          <w:sz w:val="30"/>
          <w:szCs w:val="30"/>
          <w:highlight w:val="none"/>
        </w:rPr>
        <w:t>10.承 诺 书</w:t>
      </w:r>
      <w:bookmarkEnd w:id="1485"/>
      <w:bookmarkEnd w:id="1486"/>
      <w:bookmarkEnd w:id="1487"/>
      <w:bookmarkEnd w:id="1488"/>
      <w:bookmarkEnd w:id="1489"/>
      <w:bookmarkEnd w:id="1490"/>
      <w:bookmarkEnd w:id="1491"/>
    </w:p>
    <w:p w14:paraId="24D42839">
      <w:pPr>
        <w:snapToGrid w:val="0"/>
        <w:spacing w:line="360" w:lineRule="auto"/>
        <w:rPr>
          <w:rFonts w:hint="eastAsia" w:ascii="宋体" w:hAnsi="宋体" w:eastAsia="宋体" w:cs="宋体"/>
          <w:color w:val="auto"/>
          <w:highlight w:val="none"/>
        </w:rPr>
      </w:pPr>
    </w:p>
    <w:p w14:paraId="5C6B69EB">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（招标人名称）：</w:t>
      </w:r>
    </w:p>
    <w:p w14:paraId="7C2ECFAE">
      <w:pPr>
        <w:snapToGrid w:val="0"/>
        <w:spacing w:line="360" w:lineRule="auto"/>
        <w:rPr>
          <w:rFonts w:hint="eastAsia" w:ascii="宋体" w:hAnsi="宋体" w:eastAsia="宋体" w:cs="宋体"/>
          <w:color w:val="auto"/>
          <w:highlight w:val="none"/>
        </w:rPr>
      </w:pPr>
    </w:p>
    <w:p w14:paraId="32C96D69">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我方在此声明：</w:t>
      </w:r>
    </w:p>
    <w:p w14:paraId="14A926DB">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1.我方拟派往</w:t>
      </w:r>
      <w:r>
        <w:rPr>
          <w:rFonts w:hint="eastAsia" w:ascii="宋体" w:hAnsi="宋体" w:eastAsia="宋体" w:cs="宋体"/>
          <w:color w:val="auto"/>
          <w:highlight w:val="none"/>
          <w:u w:val="single"/>
        </w:rPr>
        <w:t xml:space="preserve">   招标项目及标段       </w:t>
      </w:r>
      <w:r>
        <w:rPr>
          <w:rFonts w:hint="eastAsia" w:ascii="宋体" w:hAnsi="宋体" w:eastAsia="宋体" w:cs="宋体"/>
          <w:color w:val="auto"/>
          <w:highlight w:val="none"/>
        </w:rPr>
        <w:t xml:space="preserve"> 的项目经理能够到位履行职责，如不能到位，我方自愿接受处罚和被予不良行为记录。</w:t>
      </w:r>
    </w:p>
    <w:p w14:paraId="59923254">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2.我方不存在第二章“投标人须知”第1.4.3项规定的任何一种情形。</w:t>
      </w:r>
    </w:p>
    <w:p w14:paraId="2D472EBB">
      <w:pPr>
        <w:snapToGrid w:val="0"/>
        <w:spacing w:line="360" w:lineRule="auto"/>
        <w:ind w:firstLine="420" w:firstLineChars="200"/>
        <w:rPr>
          <w:rFonts w:hint="eastAsia" w:ascii="宋体" w:hAnsi="宋体" w:eastAsia="宋体" w:cs="宋体"/>
          <w:color w:val="auto"/>
          <w:highlight w:val="none"/>
          <w:lang w:val="sq-AL"/>
        </w:rPr>
      </w:pPr>
      <w:r>
        <w:rPr>
          <w:rFonts w:hint="eastAsia" w:ascii="宋体" w:hAnsi="宋体" w:eastAsia="宋体" w:cs="宋体"/>
          <w:color w:val="auto"/>
          <w:highlight w:val="none"/>
          <w:lang w:val="sq-AL"/>
        </w:rPr>
        <w:t>3.我方严格遵守相关法律法规规定，没有串通投标、资质挂靠等违法、违规行为，投标文件所投入的管理、技术人员均为我公司正式在职人员。</w:t>
      </w:r>
    </w:p>
    <w:p w14:paraId="65934C5A">
      <w:pPr>
        <w:snapToGrid w:val="0"/>
        <w:spacing w:line="360" w:lineRule="auto"/>
        <w:ind w:firstLine="420" w:firstLineChars="200"/>
        <w:rPr>
          <w:rFonts w:hint="eastAsia" w:ascii="宋体" w:hAnsi="宋体" w:eastAsia="宋体" w:cs="宋体"/>
          <w:color w:val="auto"/>
          <w:highlight w:val="none"/>
          <w:lang w:val="sq-AL"/>
        </w:rPr>
      </w:pPr>
      <w:r>
        <w:rPr>
          <w:rFonts w:hint="eastAsia" w:ascii="宋体" w:hAnsi="宋体" w:eastAsia="宋体" w:cs="宋体"/>
          <w:color w:val="auto"/>
          <w:highlight w:val="none"/>
          <w:lang w:val="sq-AL"/>
        </w:rPr>
        <w:t>4.我方保证提供的资质、业绩等证明材料真实、合法、有效，</w:t>
      </w:r>
      <w:r>
        <w:rPr>
          <w:rFonts w:hint="eastAsia" w:ascii="宋体" w:hAnsi="宋体" w:eastAsia="宋体" w:cs="宋体"/>
          <w:color w:val="auto"/>
          <w:highlight w:val="none"/>
        </w:rPr>
        <w:t>并愿意承担因我方就此弄虚作假所引起的一切后果。</w:t>
      </w:r>
    </w:p>
    <w:p w14:paraId="74D56EB1">
      <w:pPr>
        <w:snapToGrid w:val="0"/>
        <w:spacing w:line="360" w:lineRule="auto"/>
        <w:ind w:firstLine="420" w:firstLineChars="200"/>
        <w:rPr>
          <w:rFonts w:hint="eastAsia" w:ascii="宋体" w:hAnsi="宋体" w:eastAsia="宋体" w:cs="宋体"/>
          <w:color w:val="auto"/>
          <w:highlight w:val="none"/>
          <w:lang w:val="sq-AL"/>
        </w:rPr>
      </w:pPr>
      <w:r>
        <w:rPr>
          <w:rFonts w:hint="eastAsia" w:ascii="宋体" w:hAnsi="宋体" w:eastAsia="宋体" w:cs="宋体"/>
          <w:color w:val="auto"/>
          <w:highlight w:val="none"/>
          <w:lang w:val="sq-AL"/>
        </w:rPr>
        <w:t>5.我方不参与不正当竞争，不向招标人、招标代理机构、交易中心、评标专家以及行业监督部门行贿以谋取不正当利益。</w:t>
      </w:r>
    </w:p>
    <w:p w14:paraId="03BA879F">
      <w:pPr>
        <w:snapToGrid w:val="0"/>
        <w:spacing w:line="360" w:lineRule="auto"/>
        <w:ind w:firstLine="420" w:firstLineChars="200"/>
        <w:rPr>
          <w:rFonts w:hint="eastAsia" w:ascii="宋体" w:hAnsi="宋体" w:eastAsia="宋体" w:cs="宋体"/>
          <w:color w:val="auto"/>
          <w:highlight w:val="none"/>
          <w:lang w:val="sq-AL"/>
        </w:rPr>
      </w:pPr>
      <w:r>
        <w:rPr>
          <w:rFonts w:hint="eastAsia" w:ascii="宋体" w:hAnsi="宋体" w:eastAsia="宋体" w:cs="宋体"/>
          <w:color w:val="auto"/>
          <w:highlight w:val="none"/>
          <w:lang w:val="sq-AL"/>
        </w:rPr>
        <w:t>6.我方严格按照招、投标文件约定签订合同，不将中标项目转包或违法分包。</w:t>
      </w:r>
    </w:p>
    <w:p w14:paraId="1C30996E">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sq-AL"/>
        </w:rPr>
        <w:t>7.</w:t>
      </w:r>
      <w:r>
        <w:rPr>
          <w:rFonts w:hint="eastAsia" w:ascii="宋体" w:hAnsi="宋体" w:eastAsia="宋体" w:cs="宋体"/>
          <w:color w:val="auto"/>
          <w:highlight w:val="none"/>
        </w:rPr>
        <w:t>一旦我方中标，坚决维护农民工的合法权益，按时足额支付农民工工资，绝不拖欠。</w:t>
      </w:r>
    </w:p>
    <w:p w14:paraId="68D4475A">
      <w:pPr>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特此承诺！</w:t>
      </w:r>
    </w:p>
    <w:p w14:paraId="7DE1AF8E">
      <w:pPr>
        <w:snapToGrid w:val="0"/>
        <w:spacing w:line="360" w:lineRule="auto"/>
        <w:ind w:firstLine="420" w:firstLineChars="200"/>
        <w:rPr>
          <w:rFonts w:hint="eastAsia" w:ascii="宋体" w:hAnsi="宋体" w:eastAsia="宋体" w:cs="宋体"/>
          <w:color w:val="auto"/>
          <w:highlight w:val="none"/>
        </w:rPr>
      </w:pPr>
    </w:p>
    <w:p w14:paraId="715A4811">
      <w:pPr>
        <w:snapToGrid w:val="0"/>
        <w:spacing w:line="360" w:lineRule="auto"/>
        <w:ind w:firstLine="420" w:firstLineChars="200"/>
        <w:rPr>
          <w:rFonts w:hint="eastAsia" w:ascii="宋体" w:hAnsi="宋体" w:eastAsia="宋体" w:cs="宋体"/>
          <w:color w:val="auto"/>
          <w:highlight w:val="none"/>
        </w:rPr>
      </w:pPr>
    </w:p>
    <w:p w14:paraId="49130EB6">
      <w:pPr>
        <w:snapToGrid w:val="0"/>
        <w:spacing w:line="360" w:lineRule="auto"/>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投标人：（盖单位章）</w:t>
      </w:r>
    </w:p>
    <w:p w14:paraId="299D20C4">
      <w:pPr>
        <w:snapToGrid w:val="0"/>
        <w:spacing w:line="360" w:lineRule="auto"/>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法定代表人或其委托代理人：（签字或盖章）</w:t>
      </w:r>
    </w:p>
    <w:p w14:paraId="0EB176A9">
      <w:pPr>
        <w:snapToGrid w:val="0"/>
        <w:spacing w:line="360" w:lineRule="auto"/>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 xml:space="preserve">   年   月  日</w:t>
      </w:r>
    </w:p>
    <w:p w14:paraId="666A5B31">
      <w:pPr>
        <w:widowControl/>
        <w:jc w:val="left"/>
        <w:rPr>
          <w:rFonts w:hint="eastAsia" w:ascii="宋体" w:hAnsi="宋体" w:eastAsia="宋体" w:cs="宋体"/>
          <w:bCs/>
          <w:color w:val="auto"/>
          <w:kern w:val="0"/>
          <w:sz w:val="32"/>
          <w:szCs w:val="32"/>
          <w:highlight w:val="none"/>
        </w:rPr>
      </w:pPr>
    </w:p>
    <w:p w14:paraId="6287619F">
      <w:pPr>
        <w:pStyle w:val="229"/>
        <w:rPr>
          <w:rFonts w:hint="eastAsia" w:ascii="宋体" w:hAnsi="宋体" w:eastAsia="宋体" w:cs="宋体"/>
          <w:b/>
          <w:color w:val="auto"/>
          <w:sz w:val="21"/>
          <w:highlight w:val="none"/>
        </w:rPr>
      </w:pPr>
    </w:p>
    <w:p w14:paraId="6FF6748A">
      <w:pPr>
        <w:pStyle w:val="229"/>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2EB34ED6">
      <w:pPr>
        <w:pStyle w:val="8"/>
        <w:spacing w:before="0" w:after="0" w:line="360" w:lineRule="auto"/>
        <w:jc w:val="center"/>
        <w:rPr>
          <w:rFonts w:hint="eastAsia" w:ascii="宋体" w:hAnsi="宋体" w:eastAsia="宋体" w:cs="宋体"/>
          <w:b w:val="0"/>
          <w:bCs w:val="0"/>
          <w:color w:val="auto"/>
          <w:sz w:val="30"/>
          <w:szCs w:val="30"/>
          <w:highlight w:val="none"/>
        </w:rPr>
      </w:pPr>
      <w:bookmarkStart w:id="1492" w:name="_Toc11126"/>
      <w:bookmarkStart w:id="1493" w:name="_Toc80006163"/>
      <w:bookmarkStart w:id="1494" w:name="_Toc21464"/>
      <w:bookmarkStart w:id="1495" w:name="_Toc23325"/>
      <w:bookmarkStart w:id="1496" w:name="_Toc20454"/>
      <w:bookmarkStart w:id="1497" w:name="_Toc80006273"/>
      <w:r>
        <w:rPr>
          <w:rFonts w:hint="eastAsia" w:ascii="宋体" w:hAnsi="宋体" w:eastAsia="宋体" w:cs="宋体"/>
          <w:b w:val="0"/>
          <w:bCs w:val="0"/>
          <w:color w:val="auto"/>
          <w:sz w:val="30"/>
          <w:szCs w:val="30"/>
          <w:highlight w:val="none"/>
        </w:rPr>
        <w:t>11.投标信息表</w:t>
      </w:r>
      <w:bookmarkEnd w:id="1492"/>
      <w:bookmarkEnd w:id="1493"/>
      <w:bookmarkEnd w:id="1494"/>
      <w:bookmarkEnd w:id="1495"/>
      <w:bookmarkEnd w:id="1496"/>
      <w:bookmarkEnd w:id="1497"/>
    </w:p>
    <w:tbl>
      <w:tblPr>
        <w:tblStyle w:val="42"/>
        <w:tblW w:w="9439"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412"/>
        <w:gridCol w:w="1112"/>
        <w:gridCol w:w="1155"/>
        <w:gridCol w:w="5760"/>
      </w:tblGrid>
      <w:tr w14:paraId="3B9D8C3E">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70" w:hRule="atLeast"/>
          <w:jc w:val="center"/>
        </w:trPr>
        <w:tc>
          <w:tcPr>
            <w:tcW w:w="2524" w:type="dxa"/>
            <w:gridSpan w:val="2"/>
            <w:tcBorders>
              <w:top w:val="single" w:color="auto" w:sz="4" w:space="0"/>
              <w:left w:val="single" w:color="000000" w:sz="8" w:space="0"/>
              <w:bottom w:val="single" w:color="000000" w:sz="8" w:space="0"/>
              <w:right w:val="single" w:color="000000" w:sz="8" w:space="0"/>
            </w:tcBorders>
            <w:tcMar>
              <w:left w:w="108" w:type="dxa"/>
              <w:right w:w="108" w:type="dxa"/>
            </w:tcMar>
            <w:vAlign w:val="center"/>
          </w:tcPr>
          <w:p w14:paraId="7959682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p>
        </w:tc>
        <w:tc>
          <w:tcPr>
            <w:tcW w:w="6915" w:type="dxa"/>
            <w:gridSpan w:val="2"/>
            <w:tcBorders>
              <w:top w:val="single" w:color="auto" w:sz="4" w:space="0"/>
              <w:left w:val="nil"/>
              <w:bottom w:val="single" w:color="000000" w:sz="8" w:space="0"/>
              <w:right w:val="single" w:color="000000" w:sz="8" w:space="0"/>
            </w:tcBorders>
            <w:tcMar>
              <w:left w:w="108" w:type="dxa"/>
              <w:right w:w="108" w:type="dxa"/>
            </w:tcMar>
            <w:vAlign w:val="center"/>
          </w:tcPr>
          <w:p w14:paraId="5DFDF66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7EE782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89" w:hRule="atLeast"/>
          <w:jc w:val="center"/>
        </w:trPr>
        <w:tc>
          <w:tcPr>
            <w:tcW w:w="2524" w:type="dxa"/>
            <w:gridSpan w:val="2"/>
            <w:tcBorders>
              <w:top w:val="nil"/>
              <w:left w:val="single" w:color="000000" w:sz="8" w:space="0"/>
              <w:bottom w:val="single" w:color="000000" w:sz="8" w:space="0"/>
              <w:right w:val="single" w:color="000000" w:sz="8" w:space="0"/>
            </w:tcBorders>
            <w:tcMar>
              <w:left w:w="108" w:type="dxa"/>
              <w:right w:w="108" w:type="dxa"/>
            </w:tcMar>
            <w:vAlign w:val="center"/>
          </w:tcPr>
          <w:p w14:paraId="2DFA5E1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投标报价（万元）</w:t>
            </w:r>
          </w:p>
        </w:tc>
        <w:tc>
          <w:tcPr>
            <w:tcW w:w="6915" w:type="dxa"/>
            <w:gridSpan w:val="2"/>
            <w:tcBorders>
              <w:top w:val="nil"/>
              <w:left w:val="nil"/>
              <w:bottom w:val="single" w:color="000000" w:sz="8" w:space="0"/>
              <w:right w:val="single" w:color="000000" w:sz="8" w:space="0"/>
            </w:tcBorders>
            <w:tcMar>
              <w:left w:w="108" w:type="dxa"/>
              <w:right w:w="108" w:type="dxa"/>
            </w:tcMar>
            <w:vAlign w:val="center"/>
          </w:tcPr>
          <w:p w14:paraId="2DDD934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FDB776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89" w:hRule="atLeast"/>
          <w:jc w:val="center"/>
        </w:trPr>
        <w:tc>
          <w:tcPr>
            <w:tcW w:w="2524" w:type="dxa"/>
            <w:gridSpan w:val="2"/>
            <w:tcBorders>
              <w:top w:val="nil"/>
              <w:left w:val="single" w:color="000000" w:sz="8" w:space="0"/>
              <w:bottom w:val="single" w:color="000000" w:sz="8" w:space="0"/>
              <w:right w:val="single" w:color="000000" w:sz="8" w:space="0"/>
            </w:tcBorders>
            <w:tcMar>
              <w:left w:w="108" w:type="dxa"/>
              <w:right w:w="108" w:type="dxa"/>
            </w:tcMar>
            <w:vAlign w:val="center"/>
          </w:tcPr>
          <w:p w14:paraId="76A1BAF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其中暂估价（万元）</w:t>
            </w:r>
          </w:p>
        </w:tc>
        <w:tc>
          <w:tcPr>
            <w:tcW w:w="6915" w:type="dxa"/>
            <w:gridSpan w:val="2"/>
            <w:tcBorders>
              <w:top w:val="nil"/>
              <w:left w:val="nil"/>
              <w:bottom w:val="single" w:color="000000" w:sz="8" w:space="0"/>
              <w:right w:val="single" w:color="000000" w:sz="8" w:space="0"/>
            </w:tcBorders>
            <w:tcMar>
              <w:left w:w="108" w:type="dxa"/>
              <w:right w:w="108" w:type="dxa"/>
            </w:tcMar>
            <w:vAlign w:val="center"/>
          </w:tcPr>
          <w:p w14:paraId="137602F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2227731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20" w:hRule="atLeast"/>
          <w:jc w:val="center"/>
        </w:trPr>
        <w:tc>
          <w:tcPr>
            <w:tcW w:w="2524" w:type="dxa"/>
            <w:gridSpan w:val="2"/>
            <w:vMerge w:val="restart"/>
            <w:tcBorders>
              <w:top w:val="nil"/>
              <w:left w:val="single" w:color="000000" w:sz="8" w:space="0"/>
              <w:right w:val="single" w:color="000000" w:sz="8" w:space="0"/>
            </w:tcBorders>
            <w:tcMar>
              <w:left w:w="108" w:type="dxa"/>
              <w:right w:w="108" w:type="dxa"/>
            </w:tcMar>
            <w:vAlign w:val="center"/>
          </w:tcPr>
          <w:p w14:paraId="7567A72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类似工程</w:t>
            </w:r>
          </w:p>
          <w:p w14:paraId="1F039C3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业绩</w:t>
            </w:r>
          </w:p>
        </w:tc>
        <w:tc>
          <w:tcPr>
            <w:tcW w:w="1155" w:type="dxa"/>
            <w:tcBorders>
              <w:top w:val="nil"/>
              <w:left w:val="nil"/>
              <w:bottom w:val="single" w:color="auto" w:sz="4" w:space="0"/>
              <w:right w:val="single" w:color="000000" w:sz="8" w:space="0"/>
            </w:tcBorders>
            <w:tcMar>
              <w:left w:w="108" w:type="dxa"/>
              <w:right w:w="108" w:type="dxa"/>
            </w:tcMar>
            <w:vAlign w:val="center"/>
          </w:tcPr>
          <w:p w14:paraId="4A5BA4E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5760" w:type="dxa"/>
            <w:tcBorders>
              <w:top w:val="nil"/>
              <w:left w:val="nil"/>
              <w:bottom w:val="single" w:color="auto" w:sz="4" w:space="0"/>
              <w:right w:val="single" w:color="000000" w:sz="8" w:space="0"/>
            </w:tcBorders>
            <w:vAlign w:val="center"/>
          </w:tcPr>
          <w:p w14:paraId="2217CE4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EEDA4E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000000" w:sz="8" w:space="0"/>
              <w:right w:val="single" w:color="000000" w:sz="8" w:space="0"/>
            </w:tcBorders>
            <w:tcMar>
              <w:left w:w="108" w:type="dxa"/>
              <w:right w:w="108" w:type="dxa"/>
            </w:tcMar>
            <w:vAlign w:val="center"/>
          </w:tcPr>
          <w:p w14:paraId="7082814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tcBorders>
              <w:top w:val="nil"/>
              <w:left w:val="nil"/>
              <w:bottom w:val="single" w:color="auto" w:sz="4" w:space="0"/>
              <w:right w:val="single" w:color="000000" w:sz="8" w:space="0"/>
            </w:tcBorders>
            <w:tcMar>
              <w:left w:w="108" w:type="dxa"/>
              <w:right w:w="108" w:type="dxa"/>
            </w:tcMar>
            <w:vAlign w:val="center"/>
          </w:tcPr>
          <w:p w14:paraId="6BEC153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2</w:t>
            </w:r>
          </w:p>
        </w:tc>
        <w:tc>
          <w:tcPr>
            <w:tcW w:w="5760" w:type="dxa"/>
            <w:tcBorders>
              <w:top w:val="nil"/>
              <w:left w:val="nil"/>
              <w:bottom w:val="single" w:color="auto" w:sz="4" w:space="0"/>
              <w:right w:val="single" w:color="000000" w:sz="8" w:space="0"/>
            </w:tcBorders>
            <w:vAlign w:val="center"/>
          </w:tcPr>
          <w:p w14:paraId="6A9D3BA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48EDD5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000000" w:sz="8" w:space="0"/>
              <w:right w:val="single" w:color="000000" w:sz="8" w:space="0"/>
            </w:tcBorders>
            <w:tcMar>
              <w:left w:w="108" w:type="dxa"/>
              <w:right w:w="108" w:type="dxa"/>
            </w:tcMar>
            <w:vAlign w:val="center"/>
          </w:tcPr>
          <w:p w14:paraId="1B88C72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tcBorders>
              <w:top w:val="nil"/>
              <w:left w:val="nil"/>
              <w:bottom w:val="single" w:color="auto" w:sz="4" w:space="0"/>
              <w:right w:val="single" w:color="000000" w:sz="8" w:space="0"/>
            </w:tcBorders>
            <w:tcMar>
              <w:left w:w="108" w:type="dxa"/>
              <w:right w:w="108" w:type="dxa"/>
            </w:tcMar>
            <w:vAlign w:val="center"/>
          </w:tcPr>
          <w:p w14:paraId="21BAA1E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w:t>
            </w:r>
          </w:p>
        </w:tc>
        <w:tc>
          <w:tcPr>
            <w:tcW w:w="5760" w:type="dxa"/>
            <w:tcBorders>
              <w:top w:val="nil"/>
              <w:left w:val="nil"/>
              <w:bottom w:val="single" w:color="auto" w:sz="4" w:space="0"/>
              <w:right w:val="single" w:color="000000" w:sz="8" w:space="0"/>
            </w:tcBorders>
            <w:vAlign w:val="center"/>
          </w:tcPr>
          <w:p w14:paraId="4680EC8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064F2A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000000" w:sz="8" w:space="0"/>
              <w:right w:val="single" w:color="000000" w:sz="8" w:space="0"/>
            </w:tcBorders>
            <w:tcMar>
              <w:left w:w="108" w:type="dxa"/>
              <w:right w:w="108" w:type="dxa"/>
            </w:tcMar>
            <w:vAlign w:val="center"/>
          </w:tcPr>
          <w:p w14:paraId="77621AA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tcBorders>
              <w:top w:val="nil"/>
              <w:left w:val="nil"/>
              <w:bottom w:val="single" w:color="auto" w:sz="4" w:space="0"/>
              <w:right w:val="single" w:color="000000" w:sz="8" w:space="0"/>
            </w:tcBorders>
            <w:tcMar>
              <w:left w:w="108" w:type="dxa"/>
              <w:right w:w="108" w:type="dxa"/>
            </w:tcMar>
            <w:vAlign w:val="center"/>
          </w:tcPr>
          <w:p w14:paraId="541A622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tc>
        <w:tc>
          <w:tcPr>
            <w:tcW w:w="5760" w:type="dxa"/>
            <w:tcBorders>
              <w:top w:val="nil"/>
              <w:left w:val="nil"/>
              <w:bottom w:val="single" w:color="auto" w:sz="4" w:space="0"/>
              <w:right w:val="single" w:color="000000" w:sz="8" w:space="0"/>
            </w:tcBorders>
            <w:vAlign w:val="center"/>
          </w:tcPr>
          <w:p w14:paraId="351DCB5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62E5F41D">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restart"/>
            <w:tcBorders>
              <w:top w:val="single" w:color="auto" w:sz="4" w:space="0"/>
              <w:left w:val="single" w:color="auto" w:sz="4" w:space="0"/>
              <w:right w:val="single" w:color="000000" w:sz="8" w:space="0"/>
            </w:tcBorders>
            <w:tcMar>
              <w:left w:w="108" w:type="dxa"/>
              <w:right w:w="108" w:type="dxa"/>
            </w:tcMar>
            <w:vAlign w:val="center"/>
          </w:tcPr>
          <w:p w14:paraId="3575DB3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表彰奖励 </w:t>
            </w:r>
          </w:p>
          <w:p w14:paraId="1C8CC2D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情况</w:t>
            </w:r>
          </w:p>
        </w:tc>
        <w:tc>
          <w:tcPr>
            <w:tcW w:w="1155" w:type="dxa"/>
            <w:vMerge w:val="restart"/>
            <w:tcBorders>
              <w:top w:val="single" w:color="auto" w:sz="4" w:space="0"/>
              <w:left w:val="nil"/>
              <w:right w:val="single" w:color="auto" w:sz="4" w:space="0"/>
            </w:tcBorders>
            <w:tcMar>
              <w:left w:w="108" w:type="dxa"/>
              <w:right w:w="108" w:type="dxa"/>
            </w:tcMar>
            <w:vAlign w:val="center"/>
          </w:tcPr>
          <w:p w14:paraId="04342A4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国家级</w:t>
            </w:r>
          </w:p>
        </w:tc>
        <w:tc>
          <w:tcPr>
            <w:tcW w:w="5760" w:type="dxa"/>
            <w:tcBorders>
              <w:top w:val="single" w:color="auto" w:sz="4" w:space="0"/>
              <w:left w:val="nil"/>
              <w:bottom w:val="single" w:color="auto" w:sz="4" w:space="0"/>
              <w:right w:val="single" w:color="auto" w:sz="4" w:space="0"/>
            </w:tcBorders>
            <w:vAlign w:val="center"/>
          </w:tcPr>
          <w:p w14:paraId="12B94FC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r>
      <w:tr w14:paraId="59EB6C4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auto" w:sz="4" w:space="0"/>
              <w:right w:val="single" w:color="000000" w:sz="8" w:space="0"/>
            </w:tcBorders>
            <w:tcMar>
              <w:left w:w="108" w:type="dxa"/>
              <w:right w:w="108" w:type="dxa"/>
            </w:tcMar>
            <w:vAlign w:val="center"/>
          </w:tcPr>
          <w:p w14:paraId="0B0BE7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vMerge w:val="continue"/>
            <w:tcBorders>
              <w:left w:val="nil"/>
              <w:right w:val="single" w:color="auto" w:sz="4" w:space="0"/>
            </w:tcBorders>
            <w:tcMar>
              <w:left w:w="108" w:type="dxa"/>
              <w:right w:w="108" w:type="dxa"/>
            </w:tcMar>
            <w:vAlign w:val="center"/>
          </w:tcPr>
          <w:p w14:paraId="7CA1ABA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5760" w:type="dxa"/>
            <w:tcBorders>
              <w:top w:val="single" w:color="auto" w:sz="4" w:space="0"/>
              <w:left w:val="nil"/>
              <w:bottom w:val="single" w:color="auto" w:sz="4" w:space="0"/>
              <w:right w:val="single" w:color="auto" w:sz="4" w:space="0"/>
            </w:tcBorders>
            <w:vAlign w:val="center"/>
          </w:tcPr>
          <w:p w14:paraId="59C0B9C1">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r>
      <w:tr w14:paraId="18B34FBD">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auto" w:sz="4" w:space="0"/>
              <w:right w:val="single" w:color="000000" w:sz="8" w:space="0"/>
            </w:tcBorders>
            <w:tcMar>
              <w:left w:w="108" w:type="dxa"/>
              <w:right w:w="108" w:type="dxa"/>
            </w:tcMar>
            <w:vAlign w:val="center"/>
          </w:tcPr>
          <w:p w14:paraId="132CAB3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vMerge w:val="continue"/>
            <w:tcBorders>
              <w:left w:val="nil"/>
              <w:bottom w:val="single" w:color="auto" w:sz="4" w:space="0"/>
              <w:right w:val="single" w:color="auto" w:sz="4" w:space="0"/>
            </w:tcBorders>
            <w:tcMar>
              <w:left w:w="108" w:type="dxa"/>
              <w:right w:w="108" w:type="dxa"/>
            </w:tcMar>
            <w:vAlign w:val="center"/>
          </w:tcPr>
          <w:p w14:paraId="02D8864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5760" w:type="dxa"/>
            <w:tcBorders>
              <w:top w:val="single" w:color="auto" w:sz="4" w:space="0"/>
              <w:left w:val="nil"/>
              <w:bottom w:val="single" w:color="auto" w:sz="4" w:space="0"/>
              <w:right w:val="single" w:color="auto" w:sz="4" w:space="0"/>
            </w:tcBorders>
            <w:vAlign w:val="center"/>
          </w:tcPr>
          <w:p w14:paraId="3F59F8F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08D888DF">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auto" w:sz="4" w:space="0"/>
              <w:right w:val="single" w:color="000000" w:sz="8" w:space="0"/>
            </w:tcBorders>
            <w:tcMar>
              <w:left w:w="108" w:type="dxa"/>
              <w:right w:w="108" w:type="dxa"/>
            </w:tcMar>
            <w:vAlign w:val="center"/>
          </w:tcPr>
          <w:p w14:paraId="3AE9DC3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vMerge w:val="restart"/>
            <w:tcBorders>
              <w:top w:val="single" w:color="auto" w:sz="4" w:space="0"/>
              <w:left w:val="nil"/>
              <w:right w:val="single" w:color="auto" w:sz="4" w:space="0"/>
            </w:tcBorders>
            <w:tcMar>
              <w:left w:w="108" w:type="dxa"/>
              <w:right w:w="108" w:type="dxa"/>
            </w:tcMar>
            <w:vAlign w:val="center"/>
          </w:tcPr>
          <w:p w14:paraId="448B76F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省级</w:t>
            </w:r>
          </w:p>
        </w:tc>
        <w:tc>
          <w:tcPr>
            <w:tcW w:w="5760" w:type="dxa"/>
            <w:tcBorders>
              <w:top w:val="single" w:color="auto" w:sz="4" w:space="0"/>
              <w:left w:val="nil"/>
              <w:bottom w:val="single" w:color="auto" w:sz="4" w:space="0"/>
              <w:right w:val="single" w:color="auto" w:sz="4" w:space="0"/>
            </w:tcBorders>
            <w:vAlign w:val="center"/>
          </w:tcPr>
          <w:p w14:paraId="3F82B6C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r>
      <w:tr w14:paraId="6DE6056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auto" w:sz="4" w:space="0"/>
              <w:right w:val="single" w:color="000000" w:sz="8" w:space="0"/>
            </w:tcBorders>
            <w:tcMar>
              <w:left w:w="108" w:type="dxa"/>
              <w:right w:w="108" w:type="dxa"/>
            </w:tcMar>
            <w:vAlign w:val="center"/>
          </w:tcPr>
          <w:p w14:paraId="71C3190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vMerge w:val="continue"/>
            <w:tcBorders>
              <w:left w:val="nil"/>
              <w:right w:val="single" w:color="auto" w:sz="4" w:space="0"/>
            </w:tcBorders>
            <w:tcMar>
              <w:left w:w="108" w:type="dxa"/>
              <w:right w:w="108" w:type="dxa"/>
            </w:tcMar>
            <w:vAlign w:val="center"/>
          </w:tcPr>
          <w:p w14:paraId="28870106">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5760" w:type="dxa"/>
            <w:tcBorders>
              <w:top w:val="single" w:color="auto" w:sz="4" w:space="0"/>
              <w:left w:val="nil"/>
              <w:bottom w:val="single" w:color="auto" w:sz="4" w:space="0"/>
              <w:right w:val="single" w:color="auto" w:sz="4" w:space="0"/>
            </w:tcBorders>
            <w:vAlign w:val="center"/>
          </w:tcPr>
          <w:p w14:paraId="0F7B9FD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r>
      <w:tr w14:paraId="15B1AF8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2524" w:type="dxa"/>
            <w:gridSpan w:val="2"/>
            <w:vMerge w:val="continue"/>
            <w:tcBorders>
              <w:left w:val="single" w:color="auto" w:sz="4" w:space="0"/>
              <w:right w:val="single" w:color="000000" w:sz="8" w:space="0"/>
            </w:tcBorders>
            <w:tcMar>
              <w:left w:w="108" w:type="dxa"/>
              <w:right w:w="108" w:type="dxa"/>
            </w:tcMar>
            <w:vAlign w:val="center"/>
          </w:tcPr>
          <w:p w14:paraId="053D56E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55" w:type="dxa"/>
            <w:vMerge w:val="continue"/>
            <w:tcBorders>
              <w:left w:val="nil"/>
              <w:bottom w:val="single" w:color="auto" w:sz="4" w:space="0"/>
              <w:right w:val="single" w:color="auto" w:sz="4" w:space="0"/>
            </w:tcBorders>
            <w:tcMar>
              <w:left w:w="108" w:type="dxa"/>
              <w:right w:w="108" w:type="dxa"/>
            </w:tcMar>
            <w:vAlign w:val="center"/>
          </w:tcPr>
          <w:p w14:paraId="0CA4E80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5760" w:type="dxa"/>
            <w:tcBorders>
              <w:top w:val="single" w:color="auto" w:sz="4" w:space="0"/>
              <w:left w:val="nil"/>
              <w:bottom w:val="single" w:color="auto" w:sz="4" w:space="0"/>
              <w:right w:val="single" w:color="auto" w:sz="4" w:space="0"/>
            </w:tcBorders>
            <w:vAlign w:val="center"/>
          </w:tcPr>
          <w:p w14:paraId="5F85652D">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677AEA16">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75" w:hRule="atLeast"/>
          <w:jc w:val="center"/>
        </w:trPr>
        <w:tc>
          <w:tcPr>
            <w:tcW w:w="1412"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012D23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386EAA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6EACEC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1CB40CB8">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797" w:hRule="atLeast"/>
          <w:jc w:val="center"/>
        </w:trPr>
        <w:tc>
          <w:tcPr>
            <w:tcW w:w="1412"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4C8704B">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1A07A1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类似工程业绩</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0D57D10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31DB6E6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44" w:hRule="atLeast"/>
          <w:jc w:val="center"/>
        </w:trPr>
        <w:tc>
          <w:tcPr>
            <w:tcW w:w="1412"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6FDD63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63FFA4C">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表彰奖励 </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B33340A">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7FCE8F2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1283" w:hRule="atLeast"/>
          <w:jc w:val="center"/>
        </w:trPr>
        <w:tc>
          <w:tcPr>
            <w:tcW w:w="1412" w:type="dxa"/>
            <w:tcBorders>
              <w:top w:val="single" w:color="auto" w:sz="4" w:space="0"/>
              <w:left w:val="single" w:color="auto" w:sz="4" w:space="0"/>
              <w:right w:val="single" w:color="auto" w:sz="4" w:space="0"/>
            </w:tcBorders>
            <w:tcMar>
              <w:left w:w="108" w:type="dxa"/>
              <w:right w:w="108" w:type="dxa"/>
            </w:tcMar>
            <w:vAlign w:val="center"/>
          </w:tcPr>
          <w:p w14:paraId="6EDF33F5">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1112" w:type="dxa"/>
            <w:tcBorders>
              <w:top w:val="single" w:color="auto" w:sz="4" w:space="0"/>
              <w:left w:val="single" w:color="auto" w:sz="4" w:space="0"/>
              <w:right w:val="single" w:color="auto" w:sz="4" w:space="0"/>
            </w:tcBorders>
            <w:tcMar>
              <w:left w:w="108" w:type="dxa"/>
              <w:right w:w="108" w:type="dxa"/>
            </w:tcMar>
            <w:vAlign w:val="center"/>
          </w:tcPr>
          <w:p w14:paraId="403F2EA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5135C97">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E621FD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80" w:hRule="atLeast"/>
          <w:jc w:val="center"/>
        </w:trPr>
        <w:tc>
          <w:tcPr>
            <w:tcW w:w="1412" w:type="dxa"/>
            <w:vMerge w:val="restart"/>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3C347D9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投标担</w:t>
            </w:r>
          </w:p>
          <w:p w14:paraId="36D63B0F">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保信息</w:t>
            </w: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12326870">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担保机构</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B8F1DB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0BB844E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87" w:hRule="atLeast"/>
          <w:jc w:val="center"/>
        </w:trPr>
        <w:tc>
          <w:tcPr>
            <w:tcW w:w="1412"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BF03C0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6F025B38">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经营地址</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782ED904">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r w14:paraId="493D4B74">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412" w:type="dxa"/>
            <w:vMerge w:val="continue"/>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9037569">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c>
          <w:tcPr>
            <w:tcW w:w="1112" w:type="dxa"/>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543965B3">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联系电话</w:t>
            </w:r>
          </w:p>
        </w:tc>
        <w:tc>
          <w:tcPr>
            <w:tcW w:w="6915" w:type="dxa"/>
            <w:gridSpan w:val="2"/>
            <w:tcBorders>
              <w:top w:val="single" w:color="auto" w:sz="4" w:space="0"/>
              <w:left w:val="single" w:color="auto" w:sz="4" w:space="0"/>
              <w:bottom w:val="single" w:color="auto" w:sz="4" w:space="0"/>
              <w:right w:val="single" w:color="auto" w:sz="4" w:space="0"/>
            </w:tcBorders>
            <w:tcMar>
              <w:left w:w="108" w:type="dxa"/>
              <w:right w:w="108" w:type="dxa"/>
            </w:tcMar>
            <w:vAlign w:val="center"/>
          </w:tcPr>
          <w:p w14:paraId="4F4B112E">
            <w:pPr>
              <w:keepNext w:val="0"/>
              <w:keepLines w:val="0"/>
              <w:suppressLineNumbers w:val="0"/>
              <w:spacing w:before="0" w:beforeAutospacing="0" w:after="0" w:afterAutospacing="0"/>
              <w:ind w:left="0" w:right="0"/>
              <w:jc w:val="center"/>
              <w:rPr>
                <w:rFonts w:hint="eastAsia" w:ascii="宋体" w:hAnsi="宋体" w:eastAsia="宋体" w:cs="宋体"/>
                <w:color w:val="auto"/>
                <w:szCs w:val="21"/>
                <w:highlight w:val="none"/>
              </w:rPr>
            </w:pPr>
          </w:p>
        </w:tc>
      </w:tr>
    </w:tbl>
    <w:p w14:paraId="760116D4">
      <w:pPr>
        <w:rPr>
          <w:rFonts w:hint="eastAsia" w:ascii="宋体" w:hAnsi="宋体" w:eastAsia="宋体" w:cs="宋体"/>
          <w:color w:val="auto"/>
          <w:highlight w:val="none"/>
        </w:rPr>
      </w:pPr>
    </w:p>
    <w:p w14:paraId="0895D0EA">
      <w:pPr>
        <w:pStyle w:val="8"/>
        <w:spacing w:before="0" w:after="0" w:line="360" w:lineRule="auto"/>
        <w:jc w:val="center"/>
        <w:outlineLvl w:val="9"/>
        <w:rPr>
          <w:rFonts w:hint="eastAsia" w:ascii="宋体" w:hAnsi="宋体" w:eastAsia="宋体" w:cs="宋体"/>
          <w:b w:val="0"/>
          <w:bCs w:val="0"/>
          <w:color w:val="auto"/>
          <w:sz w:val="30"/>
          <w:szCs w:val="30"/>
          <w:highlight w:val="none"/>
        </w:rPr>
      </w:pPr>
      <w:bookmarkStart w:id="1498" w:name="_Toc9178589"/>
      <w:bookmarkStart w:id="1499" w:name="_Toc80006274"/>
      <w:bookmarkStart w:id="1500" w:name="_Toc80006164"/>
    </w:p>
    <w:p w14:paraId="0182E138">
      <w:pPr>
        <w:rPr>
          <w:rFonts w:hint="eastAsia" w:ascii="宋体" w:hAnsi="宋体" w:eastAsia="宋体" w:cs="宋体"/>
          <w:b w:val="0"/>
          <w:bCs w:val="0"/>
          <w:color w:val="auto"/>
          <w:sz w:val="30"/>
          <w:szCs w:val="30"/>
          <w:highlight w:val="none"/>
        </w:rPr>
      </w:pPr>
    </w:p>
    <w:p w14:paraId="28032E8E">
      <w:pPr>
        <w:rPr>
          <w:rFonts w:hint="eastAsia" w:ascii="宋体" w:hAnsi="宋体" w:eastAsia="宋体" w:cs="宋体"/>
          <w:b w:val="0"/>
          <w:bCs w:val="0"/>
          <w:color w:val="auto"/>
          <w:sz w:val="30"/>
          <w:szCs w:val="30"/>
          <w:highlight w:val="none"/>
        </w:rPr>
      </w:pPr>
    </w:p>
    <w:p w14:paraId="0739B125">
      <w:pPr>
        <w:pStyle w:val="8"/>
        <w:spacing w:before="0" w:after="0" w:line="360" w:lineRule="auto"/>
        <w:jc w:val="center"/>
        <w:rPr>
          <w:rFonts w:hint="eastAsia" w:ascii="宋体" w:hAnsi="宋体" w:eastAsia="宋体" w:cs="宋体"/>
          <w:b w:val="0"/>
          <w:bCs w:val="0"/>
          <w:color w:val="auto"/>
          <w:sz w:val="30"/>
          <w:szCs w:val="30"/>
          <w:highlight w:val="none"/>
        </w:rPr>
      </w:pPr>
      <w:bookmarkStart w:id="1501" w:name="_Toc17036"/>
      <w:bookmarkStart w:id="1502" w:name="_Toc1940"/>
      <w:bookmarkStart w:id="1503" w:name="_Toc25571"/>
      <w:bookmarkStart w:id="1504" w:name="_Toc15582"/>
      <w:r>
        <w:rPr>
          <w:rFonts w:hint="eastAsia" w:ascii="宋体" w:hAnsi="宋体" w:eastAsia="宋体" w:cs="宋体"/>
          <w:b w:val="0"/>
          <w:bCs w:val="0"/>
          <w:color w:val="auto"/>
          <w:sz w:val="30"/>
          <w:szCs w:val="30"/>
          <w:highlight w:val="none"/>
        </w:rPr>
        <w:t>12.其他</w:t>
      </w:r>
      <w:bookmarkEnd w:id="1498"/>
      <w:bookmarkEnd w:id="1499"/>
      <w:bookmarkEnd w:id="1500"/>
      <w:bookmarkEnd w:id="1501"/>
      <w:bookmarkEnd w:id="1502"/>
      <w:bookmarkEnd w:id="1503"/>
      <w:bookmarkEnd w:id="1504"/>
    </w:p>
    <w:p w14:paraId="55DEFBD3">
      <w:pPr>
        <w:widowControl/>
        <w:rPr>
          <w:rFonts w:hint="eastAsia" w:ascii="宋体" w:hAnsi="宋体" w:eastAsia="宋体" w:cs="宋体"/>
          <w:color w:val="auto"/>
          <w:highlight w:val="none"/>
        </w:rPr>
      </w:pPr>
    </w:p>
    <w:p w14:paraId="69FBF818">
      <w:pPr>
        <w:rPr>
          <w:rFonts w:hint="eastAsia" w:ascii="宋体" w:hAnsi="宋体" w:eastAsia="宋体" w:cs="宋体"/>
          <w:color w:val="auto"/>
          <w:highlight w:val="none"/>
        </w:rPr>
      </w:pPr>
    </w:p>
    <w:p w14:paraId="7CA75D70">
      <w:pPr>
        <w:widowControl/>
        <w:rPr>
          <w:rFonts w:hint="eastAsia" w:ascii="宋体" w:hAnsi="宋体" w:eastAsia="宋体" w:cs="宋体"/>
          <w:color w:val="auto"/>
          <w:highlight w:val="none"/>
        </w:rPr>
      </w:pPr>
    </w:p>
    <w:p w14:paraId="1E73E804">
      <w:pPr>
        <w:widowControl/>
        <w:rPr>
          <w:rFonts w:hint="eastAsia" w:ascii="宋体" w:hAnsi="宋体" w:eastAsia="宋体" w:cs="宋体"/>
          <w:color w:val="auto"/>
          <w:highlight w:val="none"/>
        </w:rPr>
      </w:pPr>
    </w:p>
    <w:p w14:paraId="325EC927">
      <w:pPr>
        <w:widowControl/>
        <w:rPr>
          <w:rFonts w:hint="eastAsia" w:ascii="宋体" w:hAnsi="宋体" w:eastAsia="宋体" w:cs="宋体"/>
          <w:color w:val="auto"/>
          <w:highlight w:val="none"/>
        </w:rPr>
      </w:pPr>
    </w:p>
    <w:p w14:paraId="2CBA7C16">
      <w:pPr>
        <w:spacing w:line="360" w:lineRule="auto"/>
        <w:jc w:val="center"/>
        <w:outlineLvl w:val="1"/>
        <w:rPr>
          <w:rFonts w:hint="eastAsia" w:ascii="宋体" w:hAnsi="宋体" w:eastAsia="宋体" w:cs="宋体"/>
          <w:b/>
          <w:color w:val="auto"/>
          <w:sz w:val="32"/>
          <w:szCs w:val="32"/>
          <w:highlight w:val="none"/>
        </w:rPr>
      </w:pPr>
      <w:bookmarkStart w:id="1505" w:name="_Toc856"/>
      <w:bookmarkStart w:id="1506" w:name="_Toc2419"/>
      <w:bookmarkStart w:id="1507" w:name="_Toc26175"/>
      <w:bookmarkStart w:id="1508" w:name="_Toc4656"/>
      <w:bookmarkStart w:id="1509" w:name="_Toc26877"/>
      <w:bookmarkStart w:id="1510" w:name="_Toc17200"/>
      <w:bookmarkStart w:id="1511" w:name="_Toc24207"/>
      <w:bookmarkStart w:id="1512" w:name="_Toc7482"/>
      <w:r>
        <w:rPr>
          <w:rFonts w:hint="eastAsia" w:ascii="宋体" w:hAnsi="宋体" w:eastAsia="宋体" w:cs="宋体"/>
          <w:b/>
          <w:color w:val="auto"/>
          <w:sz w:val="32"/>
          <w:szCs w:val="32"/>
          <w:highlight w:val="none"/>
          <w:lang w:val="en-US" w:eastAsia="zh-CN"/>
        </w:rPr>
        <w:t>（1）、</w:t>
      </w:r>
      <w:r>
        <w:rPr>
          <w:rFonts w:hint="eastAsia" w:ascii="宋体" w:hAnsi="宋体" w:eastAsia="宋体" w:cs="宋体"/>
          <w:b/>
          <w:color w:val="auto"/>
          <w:sz w:val="32"/>
          <w:szCs w:val="32"/>
          <w:highlight w:val="none"/>
        </w:rPr>
        <w:t>施工项目部关键岗位人员合格承诺书</w:t>
      </w:r>
      <w:bookmarkEnd w:id="1505"/>
      <w:bookmarkEnd w:id="1506"/>
      <w:bookmarkEnd w:id="1507"/>
      <w:bookmarkEnd w:id="1508"/>
      <w:bookmarkEnd w:id="1509"/>
      <w:bookmarkEnd w:id="1510"/>
      <w:bookmarkEnd w:id="1511"/>
      <w:bookmarkEnd w:id="1512"/>
    </w:p>
    <w:p w14:paraId="7E4DF800">
      <w:pPr>
        <w:widowControl/>
        <w:spacing w:line="360" w:lineRule="auto"/>
        <w:jc w:val="left"/>
        <w:rPr>
          <w:rFonts w:hint="eastAsia" w:ascii="宋体" w:hAnsi="宋体" w:eastAsia="宋体" w:cs="宋体"/>
          <w:color w:val="auto"/>
          <w:highlight w:val="none"/>
          <w:u w:val="single"/>
        </w:rPr>
      </w:pP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招标人</w:t>
      </w:r>
      <w:r>
        <w:rPr>
          <w:rFonts w:hint="eastAsia" w:ascii="宋体" w:hAnsi="宋体" w:eastAsia="宋体" w:cs="宋体"/>
          <w:color w:val="auto"/>
          <w:highlight w:val="none"/>
          <w:u w:val="single"/>
        </w:rPr>
        <w:t>)：</w:t>
      </w:r>
    </w:p>
    <w:p w14:paraId="1F758052">
      <w:pPr>
        <w:widowControl/>
        <w:spacing w:line="360" w:lineRule="auto"/>
        <w:jc w:val="left"/>
        <w:rPr>
          <w:rFonts w:hint="eastAsia" w:ascii="宋体" w:hAnsi="宋体" w:eastAsia="宋体" w:cs="宋体"/>
          <w:color w:val="auto"/>
          <w:highlight w:val="none"/>
          <w:u w:val="single"/>
        </w:rPr>
      </w:pPr>
    </w:p>
    <w:p w14:paraId="20957660">
      <w:pPr>
        <w:widowControl/>
        <w:spacing w:line="360" w:lineRule="auto"/>
        <w:ind w:firstLine="840" w:firstLineChars="400"/>
        <w:jc w:val="left"/>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我公司踊跃参加工程竞标，并郑重承诺：</w:t>
      </w:r>
    </w:p>
    <w:p w14:paraId="098BE667">
      <w:pPr>
        <w:spacing w:line="360" w:lineRule="auto"/>
        <w:ind w:firstLine="840" w:firstLineChars="400"/>
        <w:rPr>
          <w:rFonts w:hint="eastAsia" w:ascii="宋体" w:hAnsi="宋体" w:eastAsia="宋体" w:cs="宋体"/>
          <w:bCs/>
          <w:color w:val="auto"/>
          <w:szCs w:val="21"/>
          <w:highlight w:val="none"/>
        </w:rPr>
      </w:pPr>
    </w:p>
    <w:p w14:paraId="3EECFB27">
      <w:pPr>
        <w:spacing w:line="360" w:lineRule="auto"/>
        <w:ind w:firstLine="840" w:firstLineChars="4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按照国家和省有关法律法规、规范标准和</w:t>
      </w:r>
      <w:r>
        <w:rPr>
          <w:rFonts w:hint="eastAsia" w:ascii="宋体" w:hAnsi="宋体" w:eastAsia="宋体" w:cs="宋体"/>
          <w:b/>
          <w:color w:val="auto"/>
          <w:szCs w:val="21"/>
          <w:highlight w:val="none"/>
          <w:u w:val="single"/>
        </w:rPr>
        <w:t>湘建建[20</w:t>
      </w:r>
      <w:r>
        <w:rPr>
          <w:rFonts w:hint="eastAsia" w:ascii="宋体" w:hAnsi="宋体" w:eastAsia="宋体" w:cs="宋体"/>
          <w:b/>
          <w:color w:val="auto"/>
          <w:szCs w:val="21"/>
          <w:highlight w:val="none"/>
          <w:u w:val="single"/>
          <w:lang w:val="en-US" w:eastAsia="zh-CN"/>
        </w:rPr>
        <w:t>20</w:t>
      </w:r>
      <w:r>
        <w:rPr>
          <w:rFonts w:hint="eastAsia" w:ascii="宋体" w:hAnsi="宋体" w:eastAsia="宋体" w:cs="宋体"/>
          <w:b/>
          <w:color w:val="auto"/>
          <w:szCs w:val="21"/>
          <w:highlight w:val="none"/>
          <w:u w:val="single"/>
        </w:rPr>
        <w:t>]</w:t>
      </w:r>
      <w:r>
        <w:rPr>
          <w:rFonts w:hint="eastAsia" w:ascii="宋体" w:hAnsi="宋体" w:eastAsia="宋体" w:cs="宋体"/>
          <w:b/>
          <w:color w:val="auto"/>
          <w:szCs w:val="21"/>
          <w:highlight w:val="none"/>
          <w:u w:val="single"/>
          <w:lang w:val="en-US" w:eastAsia="zh-CN"/>
        </w:rPr>
        <w:t>208</w:t>
      </w:r>
      <w:r>
        <w:rPr>
          <w:rFonts w:hint="eastAsia" w:ascii="宋体" w:hAnsi="宋体" w:eastAsia="宋体" w:cs="宋体"/>
          <w:b/>
          <w:color w:val="auto"/>
          <w:szCs w:val="21"/>
          <w:highlight w:val="none"/>
          <w:u w:val="single"/>
        </w:rPr>
        <w:t>号</w:t>
      </w:r>
      <w:r>
        <w:rPr>
          <w:rFonts w:hint="eastAsia" w:ascii="宋体" w:hAnsi="宋体" w:eastAsia="宋体" w:cs="宋体"/>
          <w:bCs/>
          <w:color w:val="auto"/>
          <w:szCs w:val="21"/>
          <w:highlight w:val="none"/>
        </w:rPr>
        <w:t>文《湖南省建设工程施工项目部和现场监理部关键岗位人员配备管理办法》规定配备施工项目部关键岗位人员。其中施工项目部关键岗位人员数量不得低于</w:t>
      </w:r>
      <w:r>
        <w:rPr>
          <w:rFonts w:hint="eastAsia" w:ascii="宋体" w:hAnsi="宋体" w:eastAsia="宋体" w:cs="宋体"/>
          <w:b/>
          <w:color w:val="auto"/>
          <w:szCs w:val="21"/>
          <w:highlight w:val="none"/>
          <w:u w:val="single"/>
        </w:rPr>
        <w:t>湘建建[20</w:t>
      </w:r>
      <w:r>
        <w:rPr>
          <w:rFonts w:hint="eastAsia" w:ascii="宋体" w:hAnsi="宋体" w:eastAsia="宋体" w:cs="宋体"/>
          <w:b/>
          <w:color w:val="auto"/>
          <w:szCs w:val="21"/>
          <w:highlight w:val="none"/>
          <w:u w:val="single"/>
          <w:lang w:val="en-US" w:eastAsia="zh-CN"/>
        </w:rPr>
        <w:t>20</w:t>
      </w:r>
      <w:r>
        <w:rPr>
          <w:rFonts w:hint="eastAsia" w:ascii="宋体" w:hAnsi="宋体" w:eastAsia="宋体" w:cs="宋体"/>
          <w:b/>
          <w:color w:val="auto"/>
          <w:szCs w:val="21"/>
          <w:highlight w:val="none"/>
          <w:u w:val="single"/>
        </w:rPr>
        <w:t>]</w:t>
      </w:r>
      <w:r>
        <w:rPr>
          <w:rFonts w:hint="eastAsia" w:ascii="宋体" w:hAnsi="宋体" w:eastAsia="宋体" w:cs="宋体"/>
          <w:b/>
          <w:color w:val="auto"/>
          <w:szCs w:val="21"/>
          <w:highlight w:val="none"/>
          <w:u w:val="single"/>
          <w:lang w:val="en-US" w:eastAsia="zh-CN"/>
        </w:rPr>
        <w:t>208</w:t>
      </w:r>
      <w:r>
        <w:rPr>
          <w:rFonts w:hint="eastAsia" w:ascii="宋体" w:hAnsi="宋体" w:eastAsia="宋体" w:cs="宋体"/>
          <w:b/>
          <w:color w:val="auto"/>
          <w:szCs w:val="21"/>
          <w:highlight w:val="none"/>
          <w:u w:val="single"/>
        </w:rPr>
        <w:t>号</w:t>
      </w:r>
      <w:r>
        <w:rPr>
          <w:rFonts w:hint="eastAsia" w:ascii="宋体" w:hAnsi="宋体" w:eastAsia="宋体" w:cs="宋体"/>
          <w:bCs/>
          <w:color w:val="auto"/>
          <w:szCs w:val="21"/>
          <w:highlight w:val="none"/>
        </w:rPr>
        <w:t>文规定的最低配备标准，即</w:t>
      </w:r>
      <w:r>
        <w:rPr>
          <w:rFonts w:hint="eastAsia" w:ascii="宋体" w:hAnsi="宋体" w:eastAsia="宋体" w:cs="宋体"/>
          <w:color w:val="auto"/>
          <w:szCs w:val="21"/>
          <w:highlight w:val="none"/>
        </w:rPr>
        <w:t>至少</w:t>
      </w:r>
      <w:r>
        <w:rPr>
          <w:rFonts w:hint="eastAsia" w:ascii="宋体" w:hAnsi="宋体" w:eastAsia="宋体" w:cs="宋体"/>
          <w:bCs/>
          <w:color w:val="auto"/>
          <w:szCs w:val="21"/>
          <w:highlight w:val="none"/>
        </w:rPr>
        <w:t>项目负责人</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w:t>
      </w:r>
      <w:r>
        <w:rPr>
          <w:rFonts w:hint="eastAsia" w:ascii="宋体" w:hAnsi="宋体" w:eastAsia="宋体" w:cs="宋体"/>
          <w:bCs/>
          <w:color w:val="auto"/>
          <w:szCs w:val="21"/>
          <w:highlight w:val="none"/>
          <w:lang w:eastAsia="zh-CN"/>
        </w:rPr>
        <w:t>项目技术</w:t>
      </w:r>
      <w:r>
        <w:rPr>
          <w:rFonts w:hint="eastAsia" w:ascii="宋体" w:hAnsi="宋体" w:eastAsia="宋体" w:cs="宋体"/>
          <w:bCs/>
          <w:color w:val="auto"/>
          <w:szCs w:val="21"/>
          <w:highlight w:val="none"/>
        </w:rPr>
        <w:t>负责人</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施工员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w:t>
      </w:r>
      <w:r>
        <w:rPr>
          <w:rFonts w:hint="eastAsia" w:ascii="宋体" w:hAnsi="宋体" w:eastAsia="宋体" w:cs="宋体"/>
          <w:bCs/>
          <w:color w:val="auto"/>
          <w:szCs w:val="21"/>
          <w:highlight w:val="none"/>
          <w:lang w:val="en-US" w:eastAsia="zh-CN"/>
        </w:rPr>
        <w:t>质量</w:t>
      </w:r>
      <w:r>
        <w:rPr>
          <w:rFonts w:hint="eastAsia" w:ascii="宋体" w:hAnsi="宋体" w:eastAsia="宋体" w:cs="宋体"/>
          <w:bCs/>
          <w:color w:val="auto"/>
          <w:szCs w:val="21"/>
          <w:highlight w:val="none"/>
        </w:rPr>
        <w:t>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人、安全员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人。我公司保证在中标后提供合格的</w:t>
      </w:r>
      <w:r>
        <w:rPr>
          <w:rFonts w:hint="eastAsia" w:ascii="宋体" w:hAnsi="宋体" w:eastAsia="宋体" w:cs="宋体"/>
          <w:color w:val="auto"/>
          <w:szCs w:val="21"/>
          <w:highlight w:val="none"/>
        </w:rPr>
        <w:t>施工项目部关键岗位人员（</w:t>
      </w:r>
      <w:r>
        <w:rPr>
          <w:rFonts w:hint="eastAsia" w:ascii="宋体" w:hAnsi="宋体" w:eastAsia="宋体" w:cs="宋体"/>
          <w:bCs/>
          <w:color w:val="auto"/>
          <w:szCs w:val="21"/>
          <w:highlight w:val="none"/>
          <w:lang w:val="en-US" w:eastAsia="zh-CN"/>
        </w:rPr>
        <w:t>施工员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w:t>
      </w:r>
      <w:r>
        <w:rPr>
          <w:rFonts w:hint="eastAsia" w:ascii="宋体" w:hAnsi="宋体" w:eastAsia="宋体" w:cs="宋体"/>
          <w:bCs/>
          <w:color w:val="auto"/>
          <w:szCs w:val="21"/>
          <w:highlight w:val="none"/>
          <w:lang w:val="en-US" w:eastAsia="zh-CN"/>
        </w:rPr>
        <w:t>质量</w:t>
      </w:r>
      <w:r>
        <w:rPr>
          <w:rFonts w:hint="eastAsia" w:ascii="宋体" w:hAnsi="宋体" w:eastAsia="宋体" w:cs="宋体"/>
          <w:bCs/>
          <w:color w:val="auto"/>
          <w:szCs w:val="21"/>
          <w:highlight w:val="none"/>
        </w:rPr>
        <w:t>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人、安全员</w:t>
      </w:r>
      <w:r>
        <w:rPr>
          <w:rFonts w:hint="eastAsia" w:ascii="宋体" w:hAnsi="宋体" w:eastAsia="宋体" w:cs="宋体"/>
          <w:color w:val="auto"/>
          <w:szCs w:val="21"/>
          <w:highlight w:val="none"/>
          <w:u w:val="single"/>
        </w:rPr>
        <w:t>1</w:t>
      </w:r>
      <w:r>
        <w:rPr>
          <w:rFonts w:hint="eastAsia" w:ascii="宋体" w:hAnsi="宋体" w:eastAsia="宋体" w:cs="宋体"/>
          <w:bCs/>
          <w:color w:val="auto"/>
          <w:szCs w:val="21"/>
          <w:highlight w:val="none"/>
        </w:rPr>
        <w:t>人</w:t>
      </w:r>
      <w:r>
        <w:rPr>
          <w:rFonts w:hint="eastAsia" w:ascii="宋体" w:hAnsi="宋体" w:eastAsia="宋体" w:cs="宋体"/>
          <w:color w:val="auto"/>
          <w:szCs w:val="21"/>
          <w:highlight w:val="none"/>
        </w:rPr>
        <w:t>）办理施工许可，如提供虚假资料或不能提供合格的人员资料，我愿意放弃此次中标并愿意接受你方的处罚。</w:t>
      </w:r>
    </w:p>
    <w:p w14:paraId="4737B1AF">
      <w:pPr>
        <w:widowControl/>
        <w:spacing w:line="360" w:lineRule="auto"/>
        <w:jc w:val="left"/>
        <w:rPr>
          <w:rFonts w:hint="eastAsia" w:ascii="宋体" w:hAnsi="宋体" w:eastAsia="宋体" w:cs="宋体"/>
          <w:color w:val="auto"/>
          <w:szCs w:val="21"/>
          <w:highlight w:val="none"/>
          <w:u w:val="single"/>
        </w:rPr>
      </w:pPr>
    </w:p>
    <w:p w14:paraId="6F8F3BAA">
      <w:pPr>
        <w:widowControl/>
        <w:spacing w:line="360" w:lineRule="auto"/>
        <w:jc w:val="left"/>
        <w:rPr>
          <w:rFonts w:hint="eastAsia" w:ascii="宋体" w:hAnsi="宋体" w:eastAsia="宋体" w:cs="宋体"/>
          <w:b/>
          <w:bCs/>
          <w:color w:val="auto"/>
          <w:kern w:val="32"/>
          <w:sz w:val="32"/>
          <w:szCs w:val="32"/>
          <w:highlight w:val="none"/>
          <w:u w:val="single"/>
        </w:rPr>
      </w:pPr>
    </w:p>
    <w:p w14:paraId="0D428B5B">
      <w:pPr>
        <w:spacing w:line="360" w:lineRule="auto"/>
        <w:ind w:firstLine="6090" w:firstLineChars="29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承诺单位（公章/签字）：</w:t>
      </w:r>
    </w:p>
    <w:p w14:paraId="714261FB">
      <w:pPr>
        <w:spacing w:line="360" w:lineRule="auto"/>
        <w:ind w:firstLine="5565" w:firstLineChars="2650"/>
        <w:rPr>
          <w:rFonts w:hint="eastAsia" w:ascii="宋体" w:hAnsi="宋体" w:eastAsia="宋体" w:cs="宋体"/>
          <w:color w:val="auto"/>
          <w:szCs w:val="21"/>
          <w:highlight w:val="none"/>
        </w:rPr>
      </w:pPr>
    </w:p>
    <w:p w14:paraId="28154210">
      <w:pPr>
        <w:spacing w:line="360" w:lineRule="auto"/>
        <w:ind w:firstLine="6405" w:firstLineChars="30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p>
    <w:p w14:paraId="1B52A8EB">
      <w:pPr>
        <w:spacing w:line="360" w:lineRule="auto"/>
        <w:ind w:firstLine="5670" w:firstLineChars="2700"/>
        <w:rPr>
          <w:rFonts w:hint="eastAsia" w:ascii="宋体" w:hAnsi="宋体" w:eastAsia="宋体" w:cs="宋体"/>
          <w:color w:val="auto"/>
          <w:szCs w:val="21"/>
          <w:highlight w:val="none"/>
        </w:rPr>
      </w:pPr>
    </w:p>
    <w:p w14:paraId="3EAB281C">
      <w:pPr>
        <w:numPr>
          <w:ilvl w:val="0"/>
          <w:numId w:val="0"/>
        </w:numPr>
        <w:spacing w:line="360" w:lineRule="auto"/>
        <w:jc w:val="right"/>
        <w:rPr>
          <w:rFonts w:hint="eastAsia" w:ascii="宋体" w:hAnsi="宋体" w:eastAsia="宋体" w:cs="宋体"/>
          <w:color w:val="auto"/>
          <w:highlight w:val="none"/>
        </w:rPr>
      </w:pPr>
      <w:r>
        <w:rPr>
          <w:rFonts w:hint="eastAsia" w:ascii="宋体" w:hAnsi="宋体" w:eastAsia="宋体" w:cs="宋体"/>
          <w:color w:val="auto"/>
          <w:szCs w:val="21"/>
          <w:highlight w:val="none"/>
        </w:rPr>
        <w:t>年   月   日</w:t>
      </w:r>
    </w:p>
    <w:p w14:paraId="52688156">
      <w:pPr>
        <w:widowControl/>
        <w:rPr>
          <w:rFonts w:hint="eastAsia" w:ascii="宋体" w:hAnsi="宋体" w:eastAsia="宋体" w:cs="宋体"/>
          <w:color w:val="auto"/>
          <w:highlight w:val="none"/>
        </w:rPr>
      </w:pPr>
    </w:p>
    <w:p w14:paraId="27DBAD9D">
      <w:pPr>
        <w:widowControl/>
        <w:rPr>
          <w:rFonts w:hint="eastAsia" w:ascii="宋体" w:hAnsi="宋体" w:eastAsia="宋体" w:cs="宋体"/>
          <w:color w:val="auto"/>
          <w:highlight w:val="none"/>
        </w:rPr>
      </w:pPr>
    </w:p>
    <w:p w14:paraId="79043E2C">
      <w:pPr>
        <w:widowControl/>
        <w:rPr>
          <w:rFonts w:hint="eastAsia" w:ascii="宋体" w:hAnsi="宋体" w:eastAsia="宋体" w:cs="宋体"/>
          <w:color w:val="auto"/>
          <w:highlight w:val="none"/>
        </w:rPr>
      </w:pPr>
    </w:p>
    <w:p w14:paraId="5237540A">
      <w:pPr>
        <w:widowControl/>
        <w:spacing w:line="360" w:lineRule="auto"/>
        <w:jc w:val="center"/>
        <w:outlineLvl w:val="9"/>
        <w:rPr>
          <w:rFonts w:hint="eastAsia" w:ascii="宋体" w:hAnsi="宋体" w:eastAsia="宋体" w:cs="宋体"/>
          <w:b/>
          <w:color w:val="auto"/>
          <w:sz w:val="32"/>
          <w:szCs w:val="32"/>
          <w:highlight w:val="none"/>
        </w:rPr>
      </w:pPr>
    </w:p>
    <w:p w14:paraId="1FB7C25E">
      <w:pPr>
        <w:widowControl/>
        <w:spacing w:line="360" w:lineRule="auto"/>
        <w:jc w:val="center"/>
        <w:outlineLvl w:val="1"/>
        <w:rPr>
          <w:rFonts w:hint="eastAsia" w:ascii="宋体" w:hAnsi="宋体" w:eastAsia="宋体" w:cs="宋体"/>
          <w:b/>
          <w:color w:val="auto"/>
          <w:sz w:val="32"/>
          <w:szCs w:val="32"/>
          <w:highlight w:val="none"/>
        </w:rPr>
      </w:pPr>
    </w:p>
    <w:p w14:paraId="5DBEAD15">
      <w:pPr>
        <w:widowControl/>
        <w:rPr>
          <w:rFonts w:hint="eastAsia" w:ascii="宋体" w:hAnsi="宋体" w:eastAsia="宋体" w:cs="宋体"/>
          <w:color w:val="auto"/>
          <w:highlight w:val="none"/>
        </w:rPr>
      </w:pPr>
    </w:p>
    <w:p w14:paraId="4C99656A">
      <w:pPr>
        <w:widowControl/>
        <w:rPr>
          <w:rFonts w:hint="eastAsia" w:ascii="宋体" w:hAnsi="宋体" w:eastAsia="宋体" w:cs="宋体"/>
          <w:color w:val="auto"/>
          <w:highlight w:val="none"/>
        </w:rPr>
      </w:pPr>
    </w:p>
    <w:p w14:paraId="28AB332F">
      <w:pPr>
        <w:widowControl/>
        <w:rPr>
          <w:rFonts w:hint="eastAsia" w:ascii="宋体" w:hAnsi="宋体" w:eastAsia="宋体" w:cs="宋体"/>
          <w:color w:val="auto"/>
          <w:highlight w:val="none"/>
        </w:rPr>
      </w:pPr>
    </w:p>
    <w:p w14:paraId="6A769336">
      <w:pPr>
        <w:widowControl/>
        <w:rPr>
          <w:rFonts w:hint="eastAsia" w:ascii="宋体" w:hAnsi="宋体" w:eastAsia="宋体" w:cs="宋体"/>
          <w:color w:val="auto"/>
          <w:highlight w:val="none"/>
        </w:rPr>
      </w:pPr>
    </w:p>
    <w:p w14:paraId="4D6BCC37">
      <w:pPr>
        <w:widowControl/>
        <w:rPr>
          <w:rFonts w:hint="eastAsia" w:ascii="宋体" w:hAnsi="宋体" w:eastAsia="宋体" w:cs="宋体"/>
          <w:color w:val="auto"/>
          <w:highlight w:val="none"/>
        </w:rPr>
      </w:pPr>
    </w:p>
    <w:p w14:paraId="2C1539BB">
      <w:pPr>
        <w:widowControl/>
        <w:rPr>
          <w:rFonts w:hint="eastAsia" w:ascii="宋体" w:hAnsi="宋体" w:eastAsia="宋体" w:cs="宋体"/>
          <w:color w:val="auto"/>
          <w:highlight w:val="none"/>
        </w:rPr>
      </w:pPr>
    </w:p>
    <w:p w14:paraId="754AC074">
      <w:pPr>
        <w:widowControl/>
        <w:rPr>
          <w:rFonts w:hint="eastAsia" w:ascii="宋体" w:hAnsi="宋体" w:eastAsia="宋体" w:cs="宋体"/>
          <w:color w:val="auto"/>
          <w:highlight w:val="none"/>
        </w:rPr>
      </w:pPr>
    </w:p>
    <w:p w14:paraId="25F4DCA9">
      <w:pPr>
        <w:widowControl/>
        <w:rPr>
          <w:rFonts w:hint="eastAsia" w:ascii="宋体" w:hAnsi="宋体" w:eastAsia="宋体" w:cs="宋体"/>
          <w:color w:val="auto"/>
          <w:highlight w:val="none"/>
        </w:rPr>
      </w:pPr>
    </w:p>
    <w:p w14:paraId="59D28E6B">
      <w:pPr>
        <w:pStyle w:val="7"/>
        <w:jc w:val="center"/>
        <w:outlineLvl w:val="1"/>
        <w:rPr>
          <w:rFonts w:hint="eastAsia" w:ascii="宋体" w:hAnsi="宋体" w:eastAsia="宋体" w:cs="宋体"/>
          <w:b w:val="0"/>
          <w:color w:val="auto"/>
          <w:highlight w:val="none"/>
        </w:rPr>
      </w:pPr>
      <w:bookmarkStart w:id="1513" w:name="_Toc300678593"/>
      <w:bookmarkStart w:id="1514" w:name="_Toc80006165"/>
      <w:bookmarkStart w:id="1515" w:name="_Toc15181"/>
      <w:bookmarkStart w:id="1516" w:name="_Toc80006275"/>
    </w:p>
    <w:p w14:paraId="34FF7B90">
      <w:pPr>
        <w:pStyle w:val="7"/>
        <w:jc w:val="center"/>
        <w:outlineLvl w:val="1"/>
        <w:rPr>
          <w:rFonts w:hint="eastAsia" w:ascii="宋体" w:hAnsi="宋体" w:eastAsia="宋体" w:cs="宋体"/>
          <w:b w:val="0"/>
          <w:color w:val="auto"/>
          <w:highlight w:val="none"/>
        </w:rPr>
      </w:pPr>
    </w:p>
    <w:p w14:paraId="11CB5067">
      <w:pPr>
        <w:pStyle w:val="7"/>
        <w:jc w:val="center"/>
        <w:outlineLvl w:val="1"/>
        <w:rPr>
          <w:rFonts w:hint="eastAsia" w:ascii="宋体" w:hAnsi="宋体" w:eastAsia="宋体" w:cs="宋体"/>
          <w:b w:val="0"/>
          <w:color w:val="auto"/>
          <w:highlight w:val="none"/>
        </w:rPr>
      </w:pPr>
    </w:p>
    <w:p w14:paraId="34C0D7A1">
      <w:pPr>
        <w:pStyle w:val="7"/>
        <w:jc w:val="center"/>
        <w:outlineLvl w:val="1"/>
        <w:rPr>
          <w:rFonts w:hint="eastAsia" w:ascii="宋体" w:hAnsi="宋体" w:eastAsia="宋体" w:cs="宋体"/>
          <w:b w:val="0"/>
          <w:color w:val="auto"/>
          <w:highlight w:val="none"/>
        </w:rPr>
      </w:pPr>
    </w:p>
    <w:p w14:paraId="66C1F158">
      <w:pPr>
        <w:pStyle w:val="7"/>
        <w:jc w:val="center"/>
        <w:outlineLvl w:val="1"/>
        <w:rPr>
          <w:rFonts w:hint="eastAsia" w:ascii="宋体" w:hAnsi="宋体" w:eastAsia="宋体" w:cs="宋体"/>
          <w:b w:val="0"/>
          <w:color w:val="auto"/>
          <w:highlight w:val="none"/>
        </w:rPr>
      </w:pPr>
    </w:p>
    <w:p w14:paraId="6F9D741E">
      <w:pPr>
        <w:pStyle w:val="7"/>
        <w:jc w:val="center"/>
        <w:outlineLvl w:val="1"/>
        <w:rPr>
          <w:rFonts w:hint="eastAsia" w:ascii="宋体" w:hAnsi="宋体" w:eastAsia="宋体" w:cs="宋体"/>
          <w:b w:val="0"/>
          <w:color w:val="auto"/>
          <w:highlight w:val="none"/>
        </w:rPr>
      </w:pPr>
    </w:p>
    <w:p w14:paraId="29B32040">
      <w:pPr>
        <w:pStyle w:val="7"/>
        <w:jc w:val="center"/>
        <w:outlineLvl w:val="1"/>
        <w:rPr>
          <w:rFonts w:hint="eastAsia" w:ascii="宋体" w:hAnsi="宋体" w:eastAsia="宋体" w:cs="宋体"/>
          <w:b w:val="0"/>
          <w:color w:val="auto"/>
          <w:highlight w:val="none"/>
        </w:rPr>
      </w:pPr>
    </w:p>
    <w:p w14:paraId="0A7C68CF">
      <w:pPr>
        <w:pStyle w:val="7"/>
        <w:jc w:val="center"/>
        <w:outlineLvl w:val="1"/>
        <w:rPr>
          <w:rFonts w:hint="eastAsia" w:ascii="宋体" w:hAnsi="宋体" w:eastAsia="宋体" w:cs="宋体"/>
          <w:b w:val="0"/>
          <w:color w:val="auto"/>
          <w:highlight w:val="none"/>
        </w:rPr>
      </w:pPr>
    </w:p>
    <w:p w14:paraId="756C97C8">
      <w:pPr>
        <w:pStyle w:val="7"/>
        <w:jc w:val="center"/>
        <w:outlineLvl w:val="1"/>
        <w:rPr>
          <w:rFonts w:hint="eastAsia" w:ascii="宋体" w:hAnsi="宋体" w:eastAsia="宋体" w:cs="宋体"/>
          <w:b w:val="0"/>
          <w:color w:val="auto"/>
          <w:highlight w:val="none"/>
        </w:rPr>
      </w:pPr>
      <w:bookmarkStart w:id="1517" w:name="_Toc22698"/>
      <w:bookmarkStart w:id="1518" w:name="_Toc22535"/>
      <w:bookmarkStart w:id="1519" w:name="_Toc27451"/>
      <w:bookmarkStart w:id="1520" w:name="_Toc13266"/>
      <w:r>
        <w:rPr>
          <w:rFonts w:hint="eastAsia" w:ascii="宋体" w:hAnsi="宋体" w:eastAsia="宋体" w:cs="宋体"/>
          <w:b w:val="0"/>
          <w:color w:val="auto"/>
          <w:highlight w:val="none"/>
        </w:rPr>
        <w:t>第二节 投标报价</w:t>
      </w:r>
      <w:bookmarkEnd w:id="1513"/>
      <w:r>
        <w:rPr>
          <w:rFonts w:hint="eastAsia" w:ascii="宋体" w:hAnsi="宋体" w:eastAsia="宋体" w:cs="宋体"/>
          <w:b w:val="0"/>
          <w:color w:val="auto"/>
          <w:highlight w:val="none"/>
        </w:rPr>
        <w:t>格式</w:t>
      </w:r>
      <w:bookmarkEnd w:id="1514"/>
      <w:bookmarkEnd w:id="1515"/>
      <w:bookmarkEnd w:id="1516"/>
      <w:bookmarkEnd w:id="1517"/>
      <w:bookmarkEnd w:id="1518"/>
      <w:bookmarkEnd w:id="1519"/>
      <w:bookmarkEnd w:id="1520"/>
    </w:p>
    <w:p w14:paraId="0EE0D7A6">
      <w:pPr>
        <w:widowControl/>
        <w:rPr>
          <w:rFonts w:hint="eastAsia" w:ascii="宋体" w:hAnsi="宋体" w:eastAsia="宋体" w:cs="宋体"/>
          <w:color w:val="auto"/>
          <w:highlight w:val="none"/>
        </w:rPr>
      </w:pPr>
    </w:p>
    <w:p w14:paraId="0171D742">
      <w:pPr>
        <w:widowControl/>
        <w:rPr>
          <w:rFonts w:hint="eastAsia" w:ascii="宋体" w:hAnsi="宋体" w:eastAsia="宋体" w:cs="宋体"/>
          <w:color w:val="auto"/>
          <w:highlight w:val="none"/>
        </w:rPr>
      </w:pPr>
    </w:p>
    <w:p w14:paraId="7A511A46">
      <w:pPr>
        <w:widowControl/>
        <w:rPr>
          <w:rFonts w:hint="eastAsia" w:ascii="宋体" w:hAnsi="宋体" w:eastAsia="宋体" w:cs="宋体"/>
          <w:color w:val="auto"/>
          <w:highlight w:val="none"/>
        </w:rPr>
      </w:pPr>
    </w:p>
    <w:p w14:paraId="730F937F">
      <w:pPr>
        <w:widowControl/>
        <w:rPr>
          <w:rFonts w:hint="eastAsia" w:ascii="宋体" w:hAnsi="宋体" w:eastAsia="宋体" w:cs="宋体"/>
          <w:color w:val="auto"/>
          <w:highlight w:val="none"/>
        </w:rPr>
      </w:pPr>
    </w:p>
    <w:p w14:paraId="6F16EB9E">
      <w:pPr>
        <w:widowControl/>
        <w:rPr>
          <w:rFonts w:hint="eastAsia" w:ascii="宋体" w:hAnsi="宋体" w:eastAsia="宋体" w:cs="宋体"/>
          <w:color w:val="auto"/>
          <w:highlight w:val="none"/>
        </w:rPr>
      </w:pPr>
    </w:p>
    <w:p w14:paraId="352B10B1">
      <w:pPr>
        <w:widowControl/>
        <w:rPr>
          <w:rFonts w:hint="eastAsia" w:ascii="宋体" w:hAnsi="宋体" w:eastAsia="宋体" w:cs="宋体"/>
          <w:color w:val="auto"/>
          <w:highlight w:val="none"/>
        </w:rPr>
      </w:pPr>
    </w:p>
    <w:p w14:paraId="46771EA1">
      <w:pPr>
        <w:widowControl/>
        <w:rPr>
          <w:rFonts w:hint="eastAsia" w:ascii="宋体" w:hAnsi="宋体" w:eastAsia="宋体" w:cs="宋体"/>
          <w:color w:val="auto"/>
          <w:highlight w:val="none"/>
        </w:rPr>
      </w:pPr>
    </w:p>
    <w:p w14:paraId="43526602">
      <w:pPr>
        <w:widowControl/>
        <w:rPr>
          <w:rFonts w:hint="eastAsia" w:ascii="宋体" w:hAnsi="宋体" w:eastAsia="宋体" w:cs="宋体"/>
          <w:color w:val="auto"/>
          <w:highlight w:val="none"/>
        </w:rPr>
      </w:pPr>
    </w:p>
    <w:p w14:paraId="4E5AC41F">
      <w:pPr>
        <w:widowControl/>
        <w:rPr>
          <w:rFonts w:hint="eastAsia" w:ascii="宋体" w:hAnsi="宋体" w:eastAsia="宋体" w:cs="宋体"/>
          <w:color w:val="auto"/>
          <w:highlight w:val="none"/>
        </w:rPr>
      </w:pPr>
    </w:p>
    <w:p w14:paraId="1B4E7EE1">
      <w:pPr>
        <w:widowControl/>
        <w:rPr>
          <w:rFonts w:hint="eastAsia" w:ascii="宋体" w:hAnsi="宋体" w:eastAsia="宋体" w:cs="宋体"/>
          <w:color w:val="auto"/>
          <w:highlight w:val="none"/>
        </w:rPr>
      </w:pPr>
    </w:p>
    <w:p w14:paraId="03EC52DB">
      <w:pPr>
        <w:widowControl/>
        <w:rPr>
          <w:rFonts w:hint="eastAsia" w:ascii="宋体" w:hAnsi="宋体" w:eastAsia="宋体" w:cs="宋体"/>
          <w:color w:val="auto"/>
          <w:highlight w:val="none"/>
        </w:rPr>
      </w:pPr>
    </w:p>
    <w:p w14:paraId="408B5346">
      <w:pPr>
        <w:widowControl/>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D10D527">
      <w:pPr>
        <w:widowControl/>
        <w:rPr>
          <w:rFonts w:hint="eastAsia" w:ascii="宋体" w:hAnsi="宋体" w:eastAsia="宋体" w:cs="宋体"/>
          <w:color w:val="auto"/>
          <w:highlight w:val="none"/>
        </w:rPr>
      </w:pPr>
    </w:p>
    <w:p w14:paraId="4D97784B">
      <w:pPr>
        <w:widowControl/>
        <w:rPr>
          <w:rFonts w:hint="eastAsia" w:ascii="宋体" w:hAnsi="宋体" w:eastAsia="宋体" w:cs="宋体"/>
          <w:color w:val="auto"/>
          <w:highlight w:val="none"/>
        </w:rPr>
      </w:pPr>
    </w:p>
    <w:p w14:paraId="3D79E6AD">
      <w:pPr>
        <w:widowControl/>
        <w:rPr>
          <w:rFonts w:hint="eastAsia" w:ascii="宋体" w:hAnsi="宋体" w:eastAsia="宋体" w:cs="宋体"/>
          <w:color w:val="auto"/>
          <w:highlight w:val="none"/>
        </w:rPr>
      </w:pPr>
    </w:p>
    <w:p w14:paraId="4C374848">
      <w:pPr>
        <w:widowControl/>
        <w:rPr>
          <w:rFonts w:hint="eastAsia" w:ascii="宋体" w:hAnsi="宋体" w:eastAsia="宋体" w:cs="宋体"/>
          <w:color w:val="auto"/>
          <w:highlight w:val="none"/>
        </w:rPr>
      </w:pPr>
    </w:p>
    <w:p w14:paraId="2756607E">
      <w:pPr>
        <w:widowControl/>
        <w:rPr>
          <w:rFonts w:hint="eastAsia" w:ascii="宋体" w:hAnsi="宋体" w:eastAsia="宋体" w:cs="宋体"/>
          <w:color w:val="auto"/>
          <w:highlight w:val="none"/>
        </w:rPr>
      </w:pPr>
    </w:p>
    <w:p w14:paraId="19F66E9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bookmarkStart w:id="1521" w:name="_Toc25477"/>
      <w:r>
        <w:rPr>
          <w:rFonts w:hint="eastAsia" w:ascii="宋体" w:hAnsi="宋体" w:eastAsia="宋体" w:cs="宋体"/>
          <w:color w:val="auto"/>
          <w:sz w:val="28"/>
          <w:szCs w:val="28"/>
          <w:highlight w:val="none"/>
        </w:rPr>
        <w:t>（项目名称）施工招标</w:t>
      </w:r>
      <w:bookmarkEnd w:id="1521"/>
    </w:p>
    <w:p w14:paraId="6D058F93">
      <w:pPr>
        <w:spacing w:before="240" w:beforeLines="1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  标  文  件</w:t>
      </w:r>
    </w:p>
    <w:p w14:paraId="447FD3EC">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（投标报价）</w:t>
      </w:r>
    </w:p>
    <w:p w14:paraId="6E89F535">
      <w:pPr>
        <w:widowControl/>
        <w:rPr>
          <w:rFonts w:hint="eastAsia" w:ascii="宋体" w:hAnsi="宋体" w:eastAsia="宋体" w:cs="宋体"/>
          <w:color w:val="auto"/>
          <w:highlight w:val="none"/>
        </w:rPr>
      </w:pPr>
    </w:p>
    <w:p w14:paraId="4D1172B4">
      <w:pPr>
        <w:widowControl/>
        <w:rPr>
          <w:rFonts w:hint="eastAsia" w:ascii="宋体" w:hAnsi="宋体" w:eastAsia="宋体" w:cs="宋体"/>
          <w:color w:val="auto"/>
          <w:highlight w:val="none"/>
        </w:rPr>
      </w:pPr>
    </w:p>
    <w:p w14:paraId="61342BCE">
      <w:pPr>
        <w:widowControl/>
        <w:rPr>
          <w:rFonts w:hint="eastAsia" w:ascii="宋体" w:hAnsi="宋体" w:eastAsia="宋体" w:cs="宋体"/>
          <w:color w:val="auto"/>
          <w:highlight w:val="none"/>
        </w:rPr>
      </w:pPr>
    </w:p>
    <w:p w14:paraId="50D02FD0">
      <w:pPr>
        <w:widowControl/>
        <w:rPr>
          <w:rFonts w:hint="eastAsia" w:ascii="宋体" w:hAnsi="宋体" w:eastAsia="宋体" w:cs="宋体"/>
          <w:color w:val="auto"/>
          <w:highlight w:val="none"/>
        </w:rPr>
      </w:pPr>
    </w:p>
    <w:p w14:paraId="6164CE29">
      <w:pPr>
        <w:widowControl/>
        <w:rPr>
          <w:rFonts w:hint="eastAsia" w:ascii="宋体" w:hAnsi="宋体" w:eastAsia="宋体" w:cs="宋体"/>
          <w:color w:val="auto"/>
          <w:highlight w:val="none"/>
        </w:rPr>
      </w:pPr>
    </w:p>
    <w:p w14:paraId="6954D114">
      <w:pPr>
        <w:widowControl/>
        <w:rPr>
          <w:rFonts w:hint="eastAsia" w:ascii="宋体" w:hAnsi="宋体" w:eastAsia="宋体" w:cs="宋体"/>
          <w:color w:val="auto"/>
          <w:highlight w:val="none"/>
        </w:rPr>
      </w:pPr>
    </w:p>
    <w:p w14:paraId="7E994A50">
      <w:pPr>
        <w:widowControl/>
        <w:rPr>
          <w:rFonts w:hint="eastAsia" w:ascii="宋体" w:hAnsi="宋体" w:eastAsia="宋体" w:cs="宋体"/>
          <w:color w:val="auto"/>
          <w:highlight w:val="none"/>
        </w:rPr>
      </w:pPr>
    </w:p>
    <w:p w14:paraId="54743AB8">
      <w:pPr>
        <w:widowControl/>
        <w:rPr>
          <w:rFonts w:hint="eastAsia" w:ascii="宋体" w:hAnsi="宋体" w:eastAsia="宋体" w:cs="宋体"/>
          <w:color w:val="auto"/>
          <w:highlight w:val="none"/>
        </w:rPr>
      </w:pPr>
    </w:p>
    <w:p w14:paraId="583E11F9">
      <w:pPr>
        <w:widowControl/>
        <w:rPr>
          <w:rFonts w:hint="eastAsia" w:ascii="宋体" w:hAnsi="宋体" w:eastAsia="宋体" w:cs="宋体"/>
          <w:color w:val="auto"/>
          <w:highlight w:val="none"/>
        </w:rPr>
      </w:pPr>
    </w:p>
    <w:p w14:paraId="30BBF68A">
      <w:pPr>
        <w:widowControl/>
        <w:rPr>
          <w:rFonts w:hint="eastAsia" w:ascii="宋体" w:hAnsi="宋体" w:eastAsia="宋体" w:cs="宋体"/>
          <w:color w:val="auto"/>
          <w:highlight w:val="none"/>
        </w:rPr>
      </w:pPr>
    </w:p>
    <w:p w14:paraId="556E8E7A">
      <w:pPr>
        <w:widowControl/>
        <w:rPr>
          <w:rFonts w:hint="eastAsia" w:ascii="宋体" w:hAnsi="宋体" w:eastAsia="宋体" w:cs="宋体"/>
          <w:color w:val="auto"/>
          <w:highlight w:val="none"/>
        </w:rPr>
      </w:pPr>
    </w:p>
    <w:p w14:paraId="272671EB">
      <w:pPr>
        <w:widowControl/>
        <w:rPr>
          <w:rFonts w:hint="eastAsia" w:ascii="宋体" w:hAnsi="宋体" w:eastAsia="宋体" w:cs="宋体"/>
          <w:color w:val="auto"/>
          <w:highlight w:val="none"/>
        </w:rPr>
      </w:pPr>
    </w:p>
    <w:p w14:paraId="31E61A7A">
      <w:pPr>
        <w:widowControl/>
        <w:rPr>
          <w:rFonts w:hint="eastAsia" w:ascii="宋体" w:hAnsi="宋体" w:eastAsia="宋体" w:cs="宋体"/>
          <w:color w:val="auto"/>
          <w:highlight w:val="none"/>
        </w:rPr>
      </w:pPr>
    </w:p>
    <w:p w14:paraId="4689F07F">
      <w:pPr>
        <w:widowControl/>
        <w:rPr>
          <w:rFonts w:hint="eastAsia" w:ascii="宋体" w:hAnsi="宋体" w:eastAsia="宋体" w:cs="宋体"/>
          <w:color w:val="auto"/>
          <w:highlight w:val="none"/>
        </w:rPr>
      </w:pPr>
    </w:p>
    <w:p w14:paraId="2E7076C2">
      <w:pPr>
        <w:widowControl/>
        <w:rPr>
          <w:rFonts w:hint="eastAsia" w:ascii="宋体" w:hAnsi="宋体" w:eastAsia="宋体" w:cs="宋体"/>
          <w:color w:val="auto"/>
          <w:highlight w:val="none"/>
        </w:rPr>
      </w:pPr>
    </w:p>
    <w:p w14:paraId="2825422E">
      <w:pPr>
        <w:widowControl/>
        <w:rPr>
          <w:rFonts w:hint="eastAsia" w:ascii="宋体" w:hAnsi="宋体" w:eastAsia="宋体" w:cs="宋体"/>
          <w:color w:val="auto"/>
          <w:highlight w:val="none"/>
        </w:rPr>
      </w:pPr>
    </w:p>
    <w:p w14:paraId="2555E361">
      <w:pPr>
        <w:widowControl/>
        <w:rPr>
          <w:rFonts w:hint="eastAsia" w:ascii="宋体" w:hAnsi="宋体" w:eastAsia="宋体" w:cs="宋体"/>
          <w:color w:val="auto"/>
          <w:highlight w:val="none"/>
        </w:rPr>
      </w:pPr>
    </w:p>
    <w:p w14:paraId="0A263FDF">
      <w:pPr>
        <w:widowControl/>
        <w:rPr>
          <w:rFonts w:hint="eastAsia" w:ascii="宋体" w:hAnsi="宋体" w:eastAsia="宋体" w:cs="宋体"/>
          <w:color w:val="auto"/>
          <w:highlight w:val="none"/>
        </w:rPr>
      </w:pPr>
    </w:p>
    <w:p w14:paraId="1149D764">
      <w:pPr>
        <w:widowControl/>
        <w:rPr>
          <w:rFonts w:hint="eastAsia" w:ascii="宋体" w:hAnsi="宋体" w:eastAsia="宋体" w:cs="宋体"/>
          <w:color w:val="auto"/>
          <w:highlight w:val="none"/>
        </w:rPr>
      </w:pPr>
    </w:p>
    <w:p w14:paraId="29D545E7">
      <w:pPr>
        <w:widowControl/>
        <w:rPr>
          <w:rFonts w:hint="eastAsia" w:ascii="宋体" w:hAnsi="宋体" w:eastAsia="宋体" w:cs="宋体"/>
          <w:color w:val="auto"/>
          <w:highlight w:val="none"/>
        </w:rPr>
      </w:pPr>
    </w:p>
    <w:p w14:paraId="54DC261C">
      <w:pPr>
        <w:widowControl/>
        <w:rPr>
          <w:rFonts w:hint="eastAsia" w:ascii="宋体" w:hAnsi="宋体" w:eastAsia="宋体" w:cs="宋体"/>
          <w:color w:val="auto"/>
          <w:highlight w:val="none"/>
        </w:rPr>
      </w:pPr>
    </w:p>
    <w:p w14:paraId="49AE730A">
      <w:pPr>
        <w:widowControl/>
        <w:rPr>
          <w:rFonts w:hint="eastAsia" w:ascii="宋体" w:hAnsi="宋体" w:eastAsia="宋体" w:cs="宋体"/>
          <w:color w:val="auto"/>
          <w:highlight w:val="none"/>
        </w:rPr>
      </w:pPr>
    </w:p>
    <w:p w14:paraId="7B83615C">
      <w:pPr>
        <w:widowControl/>
        <w:rPr>
          <w:rFonts w:hint="eastAsia" w:ascii="宋体" w:hAnsi="宋体" w:eastAsia="宋体" w:cs="宋体"/>
          <w:color w:val="auto"/>
          <w:highlight w:val="none"/>
        </w:rPr>
      </w:pPr>
    </w:p>
    <w:p w14:paraId="47645DE0">
      <w:pPr>
        <w:widowControl/>
        <w:rPr>
          <w:rFonts w:hint="eastAsia" w:ascii="宋体" w:hAnsi="宋体" w:eastAsia="宋体" w:cs="宋体"/>
          <w:color w:val="auto"/>
          <w:highlight w:val="none"/>
        </w:rPr>
      </w:pPr>
    </w:p>
    <w:p w14:paraId="58DEAAAC">
      <w:pPr>
        <w:widowControl/>
        <w:rPr>
          <w:rFonts w:hint="eastAsia" w:ascii="宋体" w:hAnsi="宋体" w:eastAsia="宋体" w:cs="宋体"/>
          <w:color w:val="auto"/>
          <w:highlight w:val="none"/>
        </w:rPr>
      </w:pPr>
    </w:p>
    <w:p w14:paraId="3F88B28D">
      <w:pPr>
        <w:widowControl/>
        <w:rPr>
          <w:rFonts w:hint="eastAsia" w:ascii="宋体" w:hAnsi="宋体" w:eastAsia="宋体" w:cs="宋体"/>
          <w:color w:val="auto"/>
          <w:highlight w:val="none"/>
        </w:rPr>
      </w:pPr>
    </w:p>
    <w:p w14:paraId="4774F572">
      <w:pPr>
        <w:widowControl/>
        <w:rPr>
          <w:rFonts w:hint="eastAsia" w:ascii="宋体" w:hAnsi="宋体" w:eastAsia="宋体" w:cs="宋体"/>
          <w:color w:val="auto"/>
          <w:highlight w:val="none"/>
        </w:rPr>
      </w:pPr>
    </w:p>
    <w:p w14:paraId="26618E61">
      <w:pPr>
        <w:widowControl/>
        <w:rPr>
          <w:rFonts w:hint="eastAsia" w:ascii="宋体" w:hAnsi="宋体" w:eastAsia="宋体" w:cs="宋体"/>
          <w:color w:val="auto"/>
          <w:highlight w:val="none"/>
        </w:rPr>
      </w:pPr>
    </w:p>
    <w:p w14:paraId="3C07C9FF">
      <w:pPr>
        <w:widowControl/>
        <w:rPr>
          <w:rFonts w:hint="eastAsia" w:ascii="宋体" w:hAnsi="宋体" w:eastAsia="宋体" w:cs="宋体"/>
          <w:color w:val="auto"/>
          <w:highlight w:val="none"/>
        </w:rPr>
      </w:pPr>
    </w:p>
    <w:p w14:paraId="17462A71">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3AAAD07E">
      <w:pPr>
        <w:widowControl/>
        <w:rPr>
          <w:rFonts w:hint="eastAsia" w:ascii="宋体" w:hAnsi="宋体" w:eastAsia="宋体" w:cs="宋体"/>
          <w:color w:val="auto"/>
          <w:highlight w:val="none"/>
        </w:rPr>
      </w:pPr>
    </w:p>
    <w:p w14:paraId="42D03906">
      <w:pPr>
        <w:widowControl/>
        <w:rPr>
          <w:rFonts w:hint="eastAsia" w:ascii="宋体" w:hAnsi="宋体" w:eastAsia="宋体" w:cs="宋体"/>
          <w:color w:val="auto"/>
          <w:highlight w:val="none"/>
        </w:rPr>
      </w:pPr>
    </w:p>
    <w:p w14:paraId="4DD6DA17">
      <w:pPr>
        <w:widowControl/>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bookmarkStart w:id="1522" w:name="_Toc300678594"/>
    </w:p>
    <w:p w14:paraId="729632F3">
      <w:pPr>
        <w:widowControl/>
        <w:rPr>
          <w:rFonts w:hint="eastAsia" w:ascii="宋体" w:hAnsi="宋体" w:eastAsia="宋体" w:cs="宋体"/>
          <w:color w:val="auto"/>
          <w:sz w:val="28"/>
          <w:szCs w:val="28"/>
          <w:highlight w:val="none"/>
        </w:rPr>
      </w:pPr>
    </w:p>
    <w:p w14:paraId="08CFFD4C">
      <w:pPr>
        <w:widowControl/>
        <w:rPr>
          <w:rFonts w:hint="eastAsia" w:ascii="宋体" w:hAnsi="宋体" w:eastAsia="宋体" w:cs="宋体"/>
          <w:color w:val="auto"/>
          <w:sz w:val="28"/>
          <w:szCs w:val="28"/>
          <w:highlight w:val="none"/>
        </w:rPr>
      </w:pPr>
    </w:p>
    <w:p w14:paraId="73EEDFD2">
      <w:pPr>
        <w:pStyle w:val="8"/>
        <w:spacing w:before="0" w:after="0" w:line="240" w:lineRule="auto"/>
        <w:jc w:val="center"/>
        <w:rPr>
          <w:rFonts w:hint="eastAsia" w:ascii="宋体" w:hAnsi="宋体" w:eastAsia="宋体" w:cs="宋体"/>
          <w:b w:val="0"/>
          <w:bCs w:val="0"/>
          <w:color w:val="auto"/>
          <w:sz w:val="36"/>
          <w:szCs w:val="36"/>
          <w:highlight w:val="none"/>
        </w:rPr>
      </w:pPr>
      <w:bookmarkStart w:id="1523" w:name="_Toc16944"/>
      <w:bookmarkStart w:id="1524" w:name="_Toc80006166"/>
      <w:bookmarkStart w:id="1525" w:name="_Toc13116"/>
      <w:bookmarkStart w:id="1526" w:name="_Toc9178591"/>
      <w:bookmarkStart w:id="1527" w:name="_Toc26506"/>
      <w:bookmarkStart w:id="1528" w:name="_Toc15903"/>
      <w:bookmarkStart w:id="1529" w:name="_Toc80006276"/>
      <w:r>
        <w:rPr>
          <w:rFonts w:hint="eastAsia" w:ascii="宋体" w:hAnsi="宋体" w:eastAsia="宋体" w:cs="宋体"/>
          <w:b w:val="0"/>
          <w:bCs w:val="0"/>
          <w:color w:val="auto"/>
          <w:sz w:val="36"/>
          <w:szCs w:val="36"/>
          <w:highlight w:val="none"/>
        </w:rPr>
        <w:t>目    录</w:t>
      </w:r>
      <w:bookmarkEnd w:id="1522"/>
      <w:bookmarkEnd w:id="1523"/>
      <w:bookmarkEnd w:id="1524"/>
      <w:bookmarkEnd w:id="1525"/>
      <w:bookmarkEnd w:id="1526"/>
      <w:bookmarkEnd w:id="1527"/>
      <w:bookmarkEnd w:id="1528"/>
      <w:bookmarkEnd w:id="1529"/>
    </w:p>
    <w:p w14:paraId="5A4C385C">
      <w:pPr>
        <w:spacing w:line="360" w:lineRule="auto"/>
        <w:rPr>
          <w:rFonts w:hint="eastAsia" w:ascii="宋体" w:hAnsi="宋体" w:eastAsia="宋体" w:cs="宋体"/>
          <w:color w:val="auto"/>
          <w:highlight w:val="none"/>
        </w:rPr>
      </w:pPr>
    </w:p>
    <w:p w14:paraId="60B39B5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"_Toc300678595"</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w:t>
      </w:r>
      <w:r>
        <w:rPr>
          <w:rStyle w:val="53"/>
          <w:rFonts w:hint="eastAsia" w:ascii="宋体" w:hAnsi="宋体" w:eastAsia="宋体" w:cs="宋体"/>
          <w:color w:val="auto"/>
          <w:highlight w:val="none"/>
          <w:u w:val="none"/>
        </w:rPr>
        <w:t>已标价工程量清单内容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end"/>
      </w:r>
    </w:p>
    <w:p w14:paraId="40E3FDFE">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HYPERLINK \l "_Toc300678596"</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w:t>
      </w:r>
      <w:r>
        <w:rPr>
          <w:rStyle w:val="53"/>
          <w:rFonts w:hint="eastAsia" w:ascii="宋体" w:hAnsi="宋体" w:eastAsia="宋体" w:cs="宋体"/>
          <w:color w:val="auto"/>
          <w:highlight w:val="none"/>
          <w:u w:val="none"/>
        </w:rPr>
        <w:t>已标价工程量清单格式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end"/>
      </w:r>
    </w:p>
    <w:p w14:paraId="1A4A368F">
      <w:pPr>
        <w:autoSpaceDE w:val="0"/>
        <w:autoSpaceDN w:val="0"/>
        <w:adjustRightInd w:val="0"/>
        <w:spacing w:before="64" w:line="360" w:lineRule="auto"/>
        <w:ind w:right="-23"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 xml:space="preserve">   </w:t>
      </w:r>
    </w:p>
    <w:p w14:paraId="0C08B61F">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3E7B882E">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69F2C1C0">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761CD537">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2FCEE1E5">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692B1E8E">
      <w:pPr>
        <w:autoSpaceDE w:val="0"/>
        <w:autoSpaceDN w:val="0"/>
        <w:adjustRightInd w:val="0"/>
        <w:spacing w:before="64"/>
        <w:ind w:right="-23" w:firstLine="420" w:firstLineChars="200"/>
        <w:jc w:val="left"/>
        <w:rPr>
          <w:rFonts w:hint="eastAsia" w:ascii="宋体" w:hAnsi="宋体" w:eastAsia="宋体" w:cs="宋体"/>
          <w:color w:val="auto"/>
          <w:kern w:val="0"/>
          <w:szCs w:val="21"/>
          <w:highlight w:val="none"/>
        </w:rPr>
      </w:pPr>
    </w:p>
    <w:p w14:paraId="586FC2D4">
      <w:pPr>
        <w:widowControl/>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235D8395">
      <w:pPr>
        <w:pStyle w:val="33"/>
        <w:tabs>
          <w:tab w:val="right" w:leader="dot" w:pos="8720"/>
        </w:tabs>
        <w:ind w:left="0" w:leftChars="0"/>
        <w:jc w:val="left"/>
        <w:rPr>
          <w:rFonts w:hint="eastAsia" w:ascii="宋体" w:hAnsi="宋体" w:eastAsia="宋体" w:cs="宋体"/>
          <w:color w:val="auto"/>
          <w:highlight w:val="none"/>
        </w:rPr>
      </w:pPr>
    </w:p>
    <w:p w14:paraId="4E7528AC">
      <w:pPr>
        <w:pStyle w:val="9"/>
        <w:keepNext/>
        <w:keepLines/>
        <w:widowControl w:val="0"/>
        <w:jc w:val="left"/>
        <w:rPr>
          <w:rFonts w:hint="eastAsia" w:ascii="宋体" w:hAnsi="宋体" w:eastAsia="宋体" w:cs="宋体"/>
          <w:b w:val="0"/>
          <w:color w:val="auto"/>
          <w:sz w:val="28"/>
          <w:szCs w:val="28"/>
          <w:highlight w:val="none"/>
        </w:rPr>
      </w:pPr>
      <w:bookmarkStart w:id="1530" w:name="_Toc80006167"/>
      <w:bookmarkStart w:id="1531" w:name="_Toc80006277"/>
      <w:bookmarkStart w:id="1532" w:name="_Toc7601"/>
      <w:bookmarkStart w:id="1533" w:name="_Toc300678595"/>
      <w:bookmarkStart w:id="1534" w:name="_Toc20836"/>
      <w:bookmarkStart w:id="1535" w:name="_Toc9178592"/>
      <w:r>
        <w:rPr>
          <w:rFonts w:hint="eastAsia" w:ascii="宋体" w:hAnsi="宋体" w:eastAsia="宋体" w:cs="宋体"/>
          <w:b w:val="0"/>
          <w:color w:val="auto"/>
          <w:sz w:val="28"/>
          <w:szCs w:val="28"/>
          <w:highlight w:val="none"/>
        </w:rPr>
        <w:t>1.已标价工程量清单内容</w:t>
      </w:r>
      <w:bookmarkEnd w:id="1530"/>
      <w:bookmarkEnd w:id="1531"/>
      <w:bookmarkEnd w:id="1532"/>
      <w:bookmarkEnd w:id="1533"/>
      <w:bookmarkEnd w:id="1534"/>
      <w:bookmarkEnd w:id="1535"/>
    </w:p>
    <w:p w14:paraId="78204DF1">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（1）投标总价封面；</w:t>
      </w:r>
    </w:p>
    <w:p w14:paraId="70F8CB41">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（2）投标总价扉页</w:t>
      </w:r>
    </w:p>
    <w:p w14:paraId="2B4923C1">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（3）工程计价总说明</w:t>
      </w:r>
    </w:p>
    <w:p w14:paraId="49DDC10E">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（4）建设项目投标报价汇总表</w:t>
      </w:r>
    </w:p>
    <w:p w14:paraId="05643AE8">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（5）单项工程投标报价汇总表</w:t>
      </w:r>
    </w:p>
    <w:p w14:paraId="0FC2106E">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（6）单位工程投标报价汇总表</w:t>
      </w:r>
    </w:p>
    <w:p w14:paraId="3A87D33E">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（7）分部分项工程项目清单与措施项目清单计价表</w:t>
      </w:r>
    </w:p>
    <w:p w14:paraId="3FD8259B">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（8）综合单价分析表</w:t>
      </w:r>
    </w:p>
    <w:p w14:paraId="58B88F55">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（9）总价措施项目清单计费表</w:t>
      </w:r>
    </w:p>
    <w:p w14:paraId="03180702">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（10）绿色施工安全防护措施项目费计价表（招投标）</w:t>
      </w:r>
    </w:p>
    <w:p w14:paraId="0A49C557">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（11）其他项目清单与计价汇总表</w:t>
      </w:r>
    </w:p>
    <w:p w14:paraId="5C9229F8">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（12）暂列金额明细表</w:t>
      </w:r>
    </w:p>
    <w:p w14:paraId="588A0DFC">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（13）材料暂估单价及调整表</w:t>
      </w:r>
    </w:p>
    <w:p w14:paraId="296F40B7">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（14）专业工程/分部分项工程暂估价及结算价表</w:t>
      </w:r>
    </w:p>
    <w:p w14:paraId="3C2BE5D3">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（15）计日工表</w:t>
      </w:r>
    </w:p>
    <w:p w14:paraId="3BF2F490">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（16）总承包服务费计价表</w:t>
      </w:r>
    </w:p>
    <w:p w14:paraId="6A0EBBAB">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（17）部分其他项目费计价表</w:t>
      </w:r>
    </w:p>
    <w:p w14:paraId="0DFA3A8F">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（18）发包人提供材料一览表</w:t>
      </w:r>
    </w:p>
    <w:p w14:paraId="0C0C3A70">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（19）人工、材料、机械汇总表</w:t>
      </w:r>
    </w:p>
    <w:p w14:paraId="071395F9">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（20）重点评审的工程量清单综合单价（含单价措施项目）表</w:t>
      </w:r>
    </w:p>
    <w:p w14:paraId="14F0604F">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（21）重点评审的材料单价表</w:t>
      </w:r>
    </w:p>
    <w:p w14:paraId="775A88C9">
      <w:pPr>
        <w:pStyle w:val="218"/>
        <w:autoSpaceDE w:val="0"/>
        <w:autoSpaceDN w:val="0"/>
        <w:adjustRightInd w:val="0"/>
        <w:spacing w:before="64" w:line="360" w:lineRule="auto"/>
        <w:ind w:right="-23"/>
        <w:jc w:val="left"/>
        <w:rPr>
          <w:rFonts w:hint="eastAsia" w:ascii="宋体" w:hAnsi="宋体" w:eastAsia="宋体" w:cs="宋体"/>
          <w:color w:val="auto"/>
          <w:highlight w:val="none"/>
        </w:rPr>
      </w:pPr>
      <w:r>
        <w:rPr>
          <w:rFonts w:hint="eastAsia" w:ascii="宋体" w:hAnsi="宋体" w:eastAsia="宋体" w:cs="宋体"/>
          <w:color w:val="auto"/>
          <w:highlight w:val="none"/>
        </w:rPr>
        <w:t>说明：以上表格如为空白表格，可不提供。</w:t>
      </w:r>
    </w:p>
    <w:p w14:paraId="4120190F">
      <w:pPr>
        <w:autoSpaceDE w:val="0"/>
        <w:autoSpaceDN w:val="0"/>
        <w:adjustRightInd w:val="0"/>
        <w:spacing w:before="64" w:line="360" w:lineRule="auto"/>
        <w:ind w:right="-23"/>
        <w:jc w:val="left"/>
        <w:rPr>
          <w:rFonts w:hint="eastAsia" w:ascii="宋体" w:hAnsi="宋体" w:eastAsia="宋体" w:cs="宋体"/>
          <w:color w:val="auto"/>
          <w:highlight w:val="none"/>
        </w:rPr>
      </w:pPr>
    </w:p>
    <w:p w14:paraId="135A88E5">
      <w:pPr>
        <w:autoSpaceDE w:val="0"/>
        <w:autoSpaceDN w:val="0"/>
        <w:adjustRightInd w:val="0"/>
        <w:spacing w:before="64" w:line="360" w:lineRule="auto"/>
        <w:ind w:right="-23"/>
        <w:jc w:val="left"/>
        <w:rPr>
          <w:rFonts w:hint="eastAsia" w:ascii="宋体" w:hAnsi="宋体" w:eastAsia="宋体" w:cs="宋体"/>
          <w:color w:val="auto"/>
          <w:highlight w:val="none"/>
        </w:rPr>
      </w:pPr>
    </w:p>
    <w:p w14:paraId="7F481339">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62896DD">
      <w:pPr>
        <w:spacing w:after="240" w:afterLines="100"/>
        <w:rPr>
          <w:rFonts w:hint="eastAsia" w:ascii="宋体" w:hAnsi="宋体" w:eastAsia="宋体" w:cs="宋体"/>
          <w:color w:val="auto"/>
          <w:highlight w:val="none"/>
        </w:rPr>
      </w:pPr>
      <w:bookmarkStart w:id="1536" w:name="_Toc300678597"/>
    </w:p>
    <w:bookmarkEnd w:id="1536"/>
    <w:p w14:paraId="1F2E5719">
      <w:pPr>
        <w:pStyle w:val="9"/>
        <w:keepNext/>
        <w:keepLines/>
        <w:widowControl w:val="0"/>
        <w:jc w:val="left"/>
        <w:rPr>
          <w:rFonts w:hint="eastAsia" w:ascii="宋体" w:hAnsi="宋体" w:eastAsia="宋体" w:cs="宋体"/>
          <w:b w:val="0"/>
          <w:color w:val="auto"/>
          <w:sz w:val="28"/>
          <w:szCs w:val="28"/>
          <w:highlight w:val="none"/>
        </w:rPr>
      </w:pPr>
      <w:bookmarkStart w:id="1537" w:name="_Toc7446"/>
      <w:bookmarkStart w:id="1538" w:name="_Toc1306"/>
      <w:bookmarkStart w:id="1539" w:name="_Toc80006168"/>
      <w:bookmarkStart w:id="1540" w:name="_Toc80006278"/>
      <w:r>
        <w:rPr>
          <w:rFonts w:hint="eastAsia" w:ascii="宋体" w:hAnsi="宋体" w:eastAsia="宋体" w:cs="宋体"/>
          <w:b w:val="0"/>
          <w:color w:val="auto"/>
          <w:sz w:val="28"/>
          <w:szCs w:val="28"/>
          <w:highlight w:val="none"/>
        </w:rPr>
        <w:t>2.已标价工程量清单格式</w:t>
      </w:r>
      <w:bookmarkEnd w:id="1537"/>
      <w:bookmarkEnd w:id="1538"/>
      <w:bookmarkEnd w:id="1539"/>
      <w:bookmarkEnd w:id="1540"/>
    </w:p>
    <w:p w14:paraId="4EDA6F3F">
      <w:pPr>
        <w:spacing w:line="360" w:lineRule="auto"/>
        <w:ind w:firstLine="480" w:firstLineChars="200"/>
        <w:rPr>
          <w:rFonts w:hint="eastAsia" w:ascii="宋体" w:hAnsi="宋体" w:eastAsia="宋体" w:cs="宋体"/>
          <w:color w:val="auto"/>
          <w:sz w:val="24"/>
          <w:highlight w:val="none"/>
        </w:rPr>
      </w:pPr>
    </w:p>
    <w:p w14:paraId="2D3B5B5C">
      <w:pPr>
        <w:rPr>
          <w:rFonts w:hint="eastAsia" w:ascii="宋体" w:hAnsi="宋体" w:eastAsia="宋体" w:cs="宋体"/>
          <w:color w:val="auto"/>
          <w:highlight w:val="none"/>
        </w:rPr>
      </w:pPr>
      <w:r>
        <w:rPr>
          <w:rFonts w:hint="eastAsia" w:ascii="宋体" w:hAnsi="宋体" w:eastAsia="宋体" w:cs="宋体"/>
          <w:color w:val="auto"/>
          <w:sz w:val="24"/>
          <w:highlight w:val="none"/>
        </w:rPr>
        <w:t>说明：</w:t>
      </w:r>
      <w:r>
        <w:rPr>
          <w:rFonts w:hint="eastAsia" w:ascii="宋体" w:hAnsi="宋体" w:eastAsia="宋体" w:cs="宋体"/>
          <w:color w:val="auto"/>
          <w:szCs w:val="21"/>
          <w:highlight w:val="none"/>
        </w:rPr>
        <w:t>已标价工程量清单按照</w:t>
      </w:r>
      <w:r>
        <w:rPr>
          <w:rFonts w:hint="eastAsia" w:ascii="宋体" w:hAnsi="宋体" w:eastAsia="宋体" w:cs="宋体"/>
          <w:color w:val="auto"/>
          <w:highlight w:val="none"/>
        </w:rPr>
        <w:t>《湖南省住房和城乡建设厅关于印发&lt;湖南省建设工程计价办法&gt;及&lt;湖南省建设工程消耗量标准&gt;的通知》（ 湘建价【2020】56号）等文件规定的格式填写。由计价软件打印的已标价工程量清单与上述文件格式不一致的，以计价软件打印的表格为准。投标人采用的计价软件应当通过了湖南建设工程造价管理总站的测评。</w:t>
      </w:r>
    </w:p>
    <w:p w14:paraId="37F3C103">
      <w:pPr>
        <w:pStyle w:val="2"/>
        <w:rPr>
          <w:rFonts w:hint="eastAsia" w:ascii="宋体" w:hAnsi="宋体" w:eastAsia="宋体" w:cs="宋体"/>
          <w:color w:val="auto"/>
          <w:highlight w:val="none"/>
        </w:rPr>
      </w:pPr>
    </w:p>
    <w:p w14:paraId="1AEAA305">
      <w:pPr>
        <w:pStyle w:val="3"/>
        <w:rPr>
          <w:rFonts w:hint="eastAsia" w:ascii="宋体" w:hAnsi="宋体" w:eastAsia="宋体" w:cs="宋体"/>
          <w:color w:val="auto"/>
          <w:highlight w:val="none"/>
        </w:rPr>
      </w:pPr>
    </w:p>
    <w:p w14:paraId="5ED3D539">
      <w:pPr>
        <w:pStyle w:val="4"/>
        <w:rPr>
          <w:rFonts w:hint="eastAsia" w:ascii="宋体" w:hAnsi="宋体" w:eastAsia="宋体" w:cs="宋体"/>
          <w:color w:val="auto"/>
          <w:highlight w:val="none"/>
        </w:rPr>
      </w:pPr>
    </w:p>
    <w:p w14:paraId="70B3A3D8">
      <w:pPr>
        <w:pStyle w:val="5"/>
        <w:rPr>
          <w:rFonts w:hint="eastAsia" w:ascii="宋体" w:hAnsi="宋体" w:eastAsia="宋体" w:cs="宋体"/>
          <w:color w:val="auto"/>
          <w:highlight w:val="none"/>
        </w:rPr>
      </w:pPr>
    </w:p>
    <w:p w14:paraId="38F2793E">
      <w:pPr>
        <w:pStyle w:val="6"/>
        <w:rPr>
          <w:rFonts w:hint="eastAsia" w:ascii="宋体" w:hAnsi="宋体" w:eastAsia="宋体" w:cs="宋体"/>
          <w:color w:val="auto"/>
          <w:highlight w:val="none"/>
        </w:rPr>
      </w:pPr>
    </w:p>
    <w:p w14:paraId="47D03D1C">
      <w:pPr>
        <w:rPr>
          <w:rFonts w:hint="eastAsia" w:ascii="宋体" w:hAnsi="宋体" w:eastAsia="宋体" w:cs="宋体"/>
          <w:color w:val="auto"/>
          <w:highlight w:val="none"/>
        </w:rPr>
      </w:pPr>
    </w:p>
    <w:p w14:paraId="47FE979F">
      <w:pPr>
        <w:pStyle w:val="2"/>
        <w:rPr>
          <w:rFonts w:hint="eastAsia" w:ascii="宋体" w:hAnsi="宋体" w:eastAsia="宋体" w:cs="宋体"/>
          <w:color w:val="auto"/>
          <w:highlight w:val="none"/>
        </w:rPr>
      </w:pPr>
    </w:p>
    <w:p w14:paraId="3786C769">
      <w:pPr>
        <w:pStyle w:val="3"/>
        <w:rPr>
          <w:rFonts w:hint="eastAsia" w:ascii="宋体" w:hAnsi="宋体" w:eastAsia="宋体" w:cs="宋体"/>
          <w:color w:val="auto"/>
          <w:highlight w:val="none"/>
        </w:rPr>
      </w:pPr>
    </w:p>
    <w:p w14:paraId="406F1B2F">
      <w:pPr>
        <w:pStyle w:val="4"/>
        <w:rPr>
          <w:rFonts w:hint="eastAsia" w:ascii="宋体" w:hAnsi="宋体" w:eastAsia="宋体" w:cs="宋体"/>
          <w:color w:val="auto"/>
          <w:highlight w:val="none"/>
        </w:rPr>
      </w:pPr>
    </w:p>
    <w:p w14:paraId="133499EE">
      <w:pPr>
        <w:pStyle w:val="5"/>
        <w:rPr>
          <w:rFonts w:hint="eastAsia" w:ascii="宋体" w:hAnsi="宋体" w:eastAsia="宋体" w:cs="宋体"/>
          <w:color w:val="auto"/>
          <w:highlight w:val="none"/>
        </w:rPr>
      </w:pPr>
    </w:p>
    <w:p w14:paraId="3500D446">
      <w:pPr>
        <w:pStyle w:val="6"/>
        <w:rPr>
          <w:rFonts w:hint="eastAsia" w:ascii="宋体" w:hAnsi="宋体" w:eastAsia="宋体" w:cs="宋体"/>
          <w:color w:val="auto"/>
          <w:highlight w:val="none"/>
        </w:rPr>
      </w:pPr>
    </w:p>
    <w:p w14:paraId="167399B3">
      <w:pPr>
        <w:rPr>
          <w:rFonts w:hint="eastAsia" w:ascii="宋体" w:hAnsi="宋体" w:eastAsia="宋体" w:cs="宋体"/>
          <w:color w:val="auto"/>
          <w:highlight w:val="none"/>
        </w:rPr>
      </w:pPr>
    </w:p>
    <w:p w14:paraId="4D4D7827">
      <w:pPr>
        <w:pStyle w:val="2"/>
        <w:rPr>
          <w:rFonts w:hint="eastAsia" w:ascii="宋体" w:hAnsi="宋体" w:eastAsia="宋体" w:cs="宋体"/>
          <w:color w:val="auto"/>
          <w:highlight w:val="none"/>
        </w:rPr>
      </w:pPr>
    </w:p>
    <w:p w14:paraId="2EE61C17">
      <w:pPr>
        <w:pStyle w:val="3"/>
        <w:rPr>
          <w:rFonts w:hint="eastAsia" w:ascii="宋体" w:hAnsi="宋体" w:eastAsia="宋体" w:cs="宋体"/>
          <w:color w:val="auto"/>
          <w:highlight w:val="none"/>
        </w:rPr>
      </w:pPr>
    </w:p>
    <w:p w14:paraId="4AA6DC49">
      <w:pPr>
        <w:pStyle w:val="4"/>
        <w:rPr>
          <w:rFonts w:hint="eastAsia" w:ascii="宋体" w:hAnsi="宋体" w:eastAsia="宋体" w:cs="宋体"/>
          <w:color w:val="auto"/>
          <w:highlight w:val="none"/>
        </w:rPr>
      </w:pPr>
    </w:p>
    <w:p w14:paraId="040F0182">
      <w:pPr>
        <w:pStyle w:val="5"/>
        <w:rPr>
          <w:rFonts w:hint="eastAsia" w:ascii="宋体" w:hAnsi="宋体" w:eastAsia="宋体" w:cs="宋体"/>
          <w:color w:val="auto"/>
          <w:highlight w:val="none"/>
        </w:rPr>
      </w:pPr>
    </w:p>
    <w:p w14:paraId="3BEC1707">
      <w:pPr>
        <w:pStyle w:val="6"/>
        <w:rPr>
          <w:rFonts w:hint="eastAsia" w:ascii="宋体" w:hAnsi="宋体" w:eastAsia="宋体" w:cs="宋体"/>
          <w:color w:val="auto"/>
          <w:highlight w:val="none"/>
        </w:rPr>
      </w:pPr>
    </w:p>
    <w:p w14:paraId="23CBECB2">
      <w:pPr>
        <w:rPr>
          <w:rFonts w:hint="eastAsia" w:ascii="宋体" w:hAnsi="宋体" w:eastAsia="宋体" w:cs="宋体"/>
          <w:color w:val="auto"/>
          <w:highlight w:val="none"/>
        </w:rPr>
      </w:pPr>
    </w:p>
    <w:p w14:paraId="3D8433C4">
      <w:pPr>
        <w:pStyle w:val="2"/>
        <w:rPr>
          <w:rFonts w:hint="eastAsia" w:ascii="宋体" w:hAnsi="宋体" w:eastAsia="宋体" w:cs="宋体"/>
          <w:color w:val="auto"/>
          <w:highlight w:val="none"/>
        </w:rPr>
      </w:pPr>
    </w:p>
    <w:p w14:paraId="3946BA88">
      <w:pPr>
        <w:pStyle w:val="3"/>
        <w:rPr>
          <w:rFonts w:hint="eastAsia" w:ascii="宋体" w:hAnsi="宋体" w:eastAsia="宋体" w:cs="宋体"/>
          <w:color w:val="auto"/>
          <w:highlight w:val="none"/>
        </w:rPr>
      </w:pPr>
    </w:p>
    <w:p w14:paraId="3D6E3660">
      <w:pPr>
        <w:pStyle w:val="4"/>
        <w:rPr>
          <w:rFonts w:hint="eastAsia" w:ascii="宋体" w:hAnsi="宋体" w:eastAsia="宋体" w:cs="宋体"/>
          <w:color w:val="auto"/>
          <w:highlight w:val="none"/>
        </w:rPr>
      </w:pPr>
    </w:p>
    <w:p w14:paraId="1D56E926">
      <w:pPr>
        <w:pStyle w:val="5"/>
        <w:rPr>
          <w:rFonts w:hint="eastAsia" w:ascii="宋体" w:hAnsi="宋体" w:eastAsia="宋体" w:cs="宋体"/>
          <w:color w:val="auto"/>
          <w:highlight w:val="none"/>
        </w:rPr>
      </w:pPr>
    </w:p>
    <w:p w14:paraId="6F7A8340">
      <w:pPr>
        <w:pStyle w:val="6"/>
        <w:rPr>
          <w:rFonts w:hint="eastAsia" w:ascii="宋体" w:hAnsi="宋体" w:eastAsia="宋体" w:cs="宋体"/>
          <w:color w:val="auto"/>
          <w:highlight w:val="none"/>
        </w:rPr>
      </w:pPr>
    </w:p>
    <w:p w14:paraId="193F78CF">
      <w:pPr>
        <w:rPr>
          <w:rFonts w:hint="eastAsia" w:ascii="宋体" w:hAnsi="宋体" w:eastAsia="宋体" w:cs="宋体"/>
          <w:color w:val="auto"/>
          <w:highlight w:val="none"/>
        </w:rPr>
      </w:pPr>
    </w:p>
    <w:p w14:paraId="3BF4A141">
      <w:pPr>
        <w:pStyle w:val="2"/>
        <w:rPr>
          <w:rFonts w:hint="eastAsia" w:ascii="宋体" w:hAnsi="宋体" w:eastAsia="宋体" w:cs="宋体"/>
          <w:color w:val="auto"/>
          <w:highlight w:val="none"/>
        </w:rPr>
      </w:pPr>
    </w:p>
    <w:p w14:paraId="56D7BDE5">
      <w:pPr>
        <w:pStyle w:val="3"/>
        <w:rPr>
          <w:rFonts w:hint="eastAsia" w:ascii="宋体" w:hAnsi="宋体" w:eastAsia="宋体" w:cs="宋体"/>
          <w:color w:val="auto"/>
          <w:highlight w:val="none"/>
        </w:rPr>
      </w:pPr>
    </w:p>
    <w:p w14:paraId="47C2378A">
      <w:pPr>
        <w:pStyle w:val="4"/>
        <w:rPr>
          <w:rFonts w:hint="eastAsia" w:ascii="宋体" w:hAnsi="宋体" w:eastAsia="宋体" w:cs="宋体"/>
          <w:color w:val="auto"/>
          <w:highlight w:val="none"/>
        </w:rPr>
      </w:pPr>
    </w:p>
    <w:p w14:paraId="6105F6E6">
      <w:pPr>
        <w:pStyle w:val="5"/>
        <w:rPr>
          <w:rFonts w:hint="eastAsia" w:ascii="宋体" w:hAnsi="宋体" w:eastAsia="宋体" w:cs="宋体"/>
          <w:color w:val="auto"/>
          <w:highlight w:val="none"/>
        </w:rPr>
      </w:pPr>
    </w:p>
    <w:p w14:paraId="0B869125">
      <w:pPr>
        <w:pStyle w:val="6"/>
        <w:rPr>
          <w:rFonts w:hint="eastAsia" w:ascii="宋体" w:hAnsi="宋体" w:eastAsia="宋体" w:cs="宋体"/>
          <w:color w:val="auto"/>
          <w:highlight w:val="none"/>
        </w:rPr>
      </w:pPr>
    </w:p>
    <w:p w14:paraId="40ADE366">
      <w:pPr>
        <w:rPr>
          <w:rFonts w:hint="eastAsia" w:ascii="宋体" w:hAnsi="宋体" w:eastAsia="宋体" w:cs="宋体"/>
          <w:color w:val="auto"/>
          <w:highlight w:val="none"/>
        </w:rPr>
      </w:pPr>
    </w:p>
    <w:p w14:paraId="4DE7E150">
      <w:pPr>
        <w:pStyle w:val="2"/>
        <w:rPr>
          <w:rFonts w:hint="eastAsia" w:ascii="宋体" w:hAnsi="宋体" w:eastAsia="宋体" w:cs="宋体"/>
          <w:color w:val="auto"/>
          <w:highlight w:val="none"/>
        </w:rPr>
      </w:pPr>
    </w:p>
    <w:p w14:paraId="0CC90A11">
      <w:pPr>
        <w:pStyle w:val="3"/>
        <w:rPr>
          <w:rFonts w:hint="eastAsia" w:ascii="宋体" w:hAnsi="宋体" w:eastAsia="宋体" w:cs="宋体"/>
          <w:color w:val="auto"/>
          <w:highlight w:val="none"/>
        </w:rPr>
      </w:pPr>
    </w:p>
    <w:p w14:paraId="097A3205">
      <w:pPr>
        <w:pStyle w:val="4"/>
        <w:rPr>
          <w:rFonts w:hint="eastAsia" w:ascii="宋体" w:hAnsi="宋体" w:eastAsia="宋体" w:cs="宋体"/>
          <w:color w:val="auto"/>
          <w:highlight w:val="none"/>
        </w:rPr>
      </w:pPr>
    </w:p>
    <w:p w14:paraId="1537CA8A">
      <w:pPr>
        <w:pStyle w:val="5"/>
        <w:rPr>
          <w:rFonts w:hint="eastAsia" w:ascii="宋体" w:hAnsi="宋体" w:eastAsia="宋体" w:cs="宋体"/>
          <w:color w:val="auto"/>
          <w:highlight w:val="none"/>
        </w:rPr>
      </w:pPr>
    </w:p>
    <w:p w14:paraId="461FD702">
      <w:pPr>
        <w:keepNext w:val="0"/>
        <w:keepLines w:val="0"/>
        <w:widowControl/>
        <w:suppressLineNumbers w:val="0"/>
        <w:jc w:val="center"/>
        <w:rPr>
          <w:rFonts w:hint="eastAsia" w:ascii="宋体" w:hAnsi="宋体" w:eastAsia="宋体" w:cs="宋体"/>
          <w:b/>
          <w:bCs/>
          <w:snapToGrid w:val="0"/>
          <w:color w:val="auto"/>
          <w:kern w:val="0"/>
          <w:sz w:val="31"/>
          <w:szCs w:val="31"/>
          <w:lang w:val="en-US" w:eastAsia="zh-CN" w:bidi="ar"/>
        </w:rPr>
      </w:pPr>
    </w:p>
    <w:p w14:paraId="7402C863">
      <w:pPr>
        <w:keepNext w:val="0"/>
        <w:keepLines w:val="0"/>
        <w:widowControl/>
        <w:suppressLineNumbers w:val="0"/>
        <w:jc w:val="center"/>
        <w:outlineLvl w:val="0"/>
        <w:rPr>
          <w:color w:val="auto"/>
        </w:rPr>
      </w:pPr>
      <w:bookmarkStart w:id="1541" w:name="_Toc11584"/>
      <w:r>
        <w:rPr>
          <w:rFonts w:hint="eastAsia" w:ascii="宋体" w:hAnsi="宋体" w:eastAsia="宋体" w:cs="宋体"/>
          <w:b w:val="0"/>
          <w:bCs/>
          <w:color w:val="auto"/>
          <w:kern w:val="32"/>
          <w:sz w:val="32"/>
          <w:szCs w:val="32"/>
          <w:highlight w:val="none"/>
          <w:lang w:val="en-US" w:eastAsia="zh-CN" w:bidi="ar-SA"/>
        </w:rPr>
        <w:t>第三节 施工组织设计格式（明标）</w:t>
      </w:r>
      <w:bookmarkEnd w:id="1541"/>
    </w:p>
    <w:p w14:paraId="798987EC">
      <w:pPr>
        <w:spacing w:before="0" w:line="240" w:lineRule="auto"/>
        <w:rPr>
          <w:rFonts w:ascii="宋体" w:hAnsi="宋体" w:eastAsia="宋体" w:cs="宋体"/>
          <w:color w:val="auto"/>
          <w:sz w:val="18"/>
          <w:szCs w:val="18"/>
        </w:rPr>
        <w:sectPr>
          <w:pgSz w:w="11907" w:h="16840"/>
          <w:pgMar w:top="1351" w:right="1020" w:bottom="1029" w:left="1027" w:header="0" w:footer="850" w:gutter="0"/>
          <w:pgNumType w:fmt="decimal"/>
          <w:cols w:space="720" w:num="1"/>
        </w:sectPr>
      </w:pPr>
    </w:p>
    <w:p w14:paraId="0DC8EF40">
      <w:pPr>
        <w:rPr>
          <w:color w:val="auto"/>
          <w:highlight w:val="none"/>
        </w:rPr>
      </w:pPr>
    </w:p>
    <w:p w14:paraId="5016C9D3">
      <w:pPr>
        <w:rPr>
          <w:color w:val="auto"/>
          <w:highlight w:val="none"/>
        </w:rPr>
      </w:pPr>
    </w:p>
    <w:p w14:paraId="25D7F59C">
      <w:pPr>
        <w:rPr>
          <w:color w:val="auto"/>
          <w:highlight w:val="none"/>
        </w:rPr>
      </w:pPr>
    </w:p>
    <w:p w14:paraId="6784E2E5">
      <w:pPr>
        <w:rPr>
          <w:color w:val="auto"/>
          <w:highlight w:val="none"/>
        </w:rPr>
      </w:pPr>
    </w:p>
    <w:p w14:paraId="033BBC32">
      <w:pPr>
        <w:rPr>
          <w:color w:val="auto"/>
          <w:highlight w:val="none"/>
        </w:rPr>
      </w:pPr>
    </w:p>
    <w:p w14:paraId="243114BD">
      <w:pPr>
        <w:rPr>
          <w:color w:val="auto"/>
          <w:highlight w:val="none"/>
        </w:rPr>
      </w:pPr>
    </w:p>
    <w:p w14:paraId="20FE2CBD">
      <w:pPr>
        <w:rPr>
          <w:color w:val="auto"/>
          <w:highlight w:val="none"/>
        </w:rPr>
      </w:pPr>
    </w:p>
    <w:p w14:paraId="0FAD0D35">
      <w:pPr>
        <w:rPr>
          <w:rFonts w:eastAsia="黑体"/>
          <w:color w:val="auto"/>
          <w:sz w:val="28"/>
          <w:szCs w:val="32"/>
          <w:highlight w:val="none"/>
          <w:u w:val="single"/>
        </w:rPr>
      </w:pPr>
    </w:p>
    <w:p w14:paraId="10771B5C">
      <w:pPr>
        <w:jc w:val="center"/>
        <w:rPr>
          <w:rFonts w:eastAsia="黑体"/>
          <w:color w:val="auto"/>
          <w:sz w:val="28"/>
          <w:szCs w:val="28"/>
          <w:highlight w:val="none"/>
        </w:rPr>
      </w:pPr>
      <w:r>
        <w:rPr>
          <w:rFonts w:eastAsia="黑体"/>
          <w:color w:val="auto"/>
          <w:sz w:val="28"/>
          <w:szCs w:val="28"/>
          <w:highlight w:val="none"/>
          <w:u w:val="single"/>
        </w:rPr>
        <w:t xml:space="preserve">         </w:t>
      </w:r>
      <w:r>
        <w:rPr>
          <w:rFonts w:eastAsia="黑体"/>
          <w:color w:val="auto"/>
          <w:sz w:val="28"/>
          <w:szCs w:val="28"/>
          <w:highlight w:val="none"/>
        </w:rPr>
        <w:t>（项目名称）施工招标</w:t>
      </w:r>
    </w:p>
    <w:p w14:paraId="26232DB7">
      <w:pPr>
        <w:spacing w:before="240" w:beforeLines="100"/>
        <w:jc w:val="center"/>
        <w:rPr>
          <w:rFonts w:eastAsia="黑体"/>
          <w:color w:val="auto"/>
          <w:sz w:val="44"/>
          <w:szCs w:val="44"/>
          <w:highlight w:val="none"/>
        </w:rPr>
      </w:pPr>
      <w:r>
        <w:rPr>
          <w:rFonts w:eastAsia="黑体"/>
          <w:color w:val="auto"/>
          <w:sz w:val="44"/>
          <w:szCs w:val="44"/>
          <w:highlight w:val="none"/>
        </w:rPr>
        <w:t>投  标  文  件</w:t>
      </w:r>
    </w:p>
    <w:p w14:paraId="00FB6F84">
      <w:pPr>
        <w:jc w:val="center"/>
        <w:rPr>
          <w:rFonts w:eastAsia="黑体"/>
          <w:color w:val="auto"/>
          <w:sz w:val="32"/>
          <w:szCs w:val="32"/>
          <w:highlight w:val="none"/>
        </w:rPr>
      </w:pPr>
      <w:r>
        <w:rPr>
          <w:rFonts w:eastAsia="黑体"/>
          <w:color w:val="auto"/>
          <w:sz w:val="32"/>
          <w:szCs w:val="32"/>
          <w:highlight w:val="none"/>
        </w:rPr>
        <w:t>（施工组织设计）</w:t>
      </w:r>
    </w:p>
    <w:p w14:paraId="2FD2F229">
      <w:pPr>
        <w:rPr>
          <w:rFonts w:eastAsia="黑体"/>
          <w:color w:val="auto"/>
          <w:szCs w:val="21"/>
          <w:highlight w:val="none"/>
          <w:u w:val="single"/>
        </w:rPr>
      </w:pPr>
    </w:p>
    <w:p w14:paraId="1D36E59E">
      <w:pPr>
        <w:rPr>
          <w:rFonts w:eastAsia="黑体"/>
          <w:color w:val="auto"/>
          <w:szCs w:val="21"/>
          <w:highlight w:val="none"/>
          <w:u w:val="single"/>
        </w:rPr>
      </w:pPr>
    </w:p>
    <w:p w14:paraId="70B89DD7">
      <w:pPr>
        <w:rPr>
          <w:rFonts w:eastAsia="黑体"/>
          <w:color w:val="auto"/>
          <w:szCs w:val="21"/>
          <w:highlight w:val="none"/>
          <w:u w:val="single"/>
        </w:rPr>
      </w:pPr>
    </w:p>
    <w:p w14:paraId="6CF3A47C">
      <w:pPr>
        <w:rPr>
          <w:rFonts w:eastAsia="黑体"/>
          <w:color w:val="auto"/>
          <w:szCs w:val="21"/>
          <w:highlight w:val="none"/>
          <w:u w:val="single"/>
        </w:rPr>
      </w:pPr>
    </w:p>
    <w:p w14:paraId="3B24DC1D">
      <w:pPr>
        <w:rPr>
          <w:rFonts w:eastAsia="黑体"/>
          <w:color w:val="auto"/>
          <w:szCs w:val="21"/>
          <w:highlight w:val="none"/>
          <w:u w:val="single"/>
        </w:rPr>
      </w:pPr>
    </w:p>
    <w:p w14:paraId="7AE01894">
      <w:pPr>
        <w:rPr>
          <w:rFonts w:eastAsia="黑体"/>
          <w:color w:val="auto"/>
          <w:szCs w:val="21"/>
          <w:highlight w:val="none"/>
          <w:u w:val="single"/>
        </w:rPr>
      </w:pPr>
    </w:p>
    <w:p w14:paraId="222487FA">
      <w:pPr>
        <w:rPr>
          <w:rFonts w:eastAsia="黑体"/>
          <w:color w:val="auto"/>
          <w:szCs w:val="21"/>
          <w:highlight w:val="none"/>
          <w:u w:val="single"/>
        </w:rPr>
      </w:pPr>
    </w:p>
    <w:p w14:paraId="1EC9C9CA">
      <w:pPr>
        <w:rPr>
          <w:rFonts w:eastAsia="黑体"/>
          <w:color w:val="auto"/>
          <w:szCs w:val="21"/>
          <w:highlight w:val="none"/>
          <w:u w:val="single"/>
        </w:rPr>
      </w:pPr>
    </w:p>
    <w:p w14:paraId="25CD9B72">
      <w:pPr>
        <w:rPr>
          <w:rFonts w:eastAsia="黑体"/>
          <w:color w:val="auto"/>
          <w:szCs w:val="21"/>
          <w:highlight w:val="none"/>
          <w:u w:val="single"/>
        </w:rPr>
      </w:pPr>
    </w:p>
    <w:p w14:paraId="06B21C8B">
      <w:pPr>
        <w:rPr>
          <w:rFonts w:eastAsia="黑体"/>
          <w:color w:val="auto"/>
          <w:szCs w:val="21"/>
          <w:highlight w:val="none"/>
          <w:u w:val="single"/>
        </w:rPr>
      </w:pPr>
    </w:p>
    <w:p w14:paraId="6B37EB98">
      <w:pPr>
        <w:rPr>
          <w:rFonts w:eastAsia="黑体"/>
          <w:color w:val="auto"/>
          <w:szCs w:val="21"/>
          <w:highlight w:val="none"/>
          <w:u w:val="single"/>
        </w:rPr>
      </w:pPr>
    </w:p>
    <w:p w14:paraId="2341870D">
      <w:pPr>
        <w:rPr>
          <w:rFonts w:eastAsia="黑体"/>
          <w:color w:val="auto"/>
          <w:szCs w:val="21"/>
          <w:highlight w:val="none"/>
          <w:u w:val="single"/>
        </w:rPr>
      </w:pPr>
    </w:p>
    <w:p w14:paraId="4D1A2322">
      <w:pPr>
        <w:rPr>
          <w:rFonts w:eastAsia="黑体"/>
          <w:color w:val="auto"/>
          <w:szCs w:val="21"/>
          <w:highlight w:val="none"/>
          <w:u w:val="single"/>
        </w:rPr>
      </w:pPr>
    </w:p>
    <w:p w14:paraId="584D2002">
      <w:pPr>
        <w:rPr>
          <w:rFonts w:eastAsia="黑体"/>
          <w:color w:val="auto"/>
          <w:szCs w:val="21"/>
          <w:highlight w:val="none"/>
          <w:u w:val="single"/>
        </w:rPr>
      </w:pPr>
    </w:p>
    <w:p w14:paraId="4CD6F7BA">
      <w:pPr>
        <w:rPr>
          <w:rFonts w:eastAsia="黑体"/>
          <w:color w:val="auto"/>
          <w:szCs w:val="21"/>
          <w:highlight w:val="none"/>
          <w:u w:val="single"/>
        </w:rPr>
      </w:pPr>
    </w:p>
    <w:p w14:paraId="569483EB">
      <w:pPr>
        <w:rPr>
          <w:rFonts w:eastAsia="黑体"/>
          <w:color w:val="auto"/>
          <w:szCs w:val="21"/>
          <w:highlight w:val="none"/>
          <w:u w:val="single"/>
        </w:rPr>
      </w:pPr>
    </w:p>
    <w:p w14:paraId="21AE209D">
      <w:pPr>
        <w:rPr>
          <w:rFonts w:eastAsia="黑体"/>
          <w:color w:val="auto"/>
          <w:szCs w:val="21"/>
          <w:highlight w:val="none"/>
          <w:u w:val="single"/>
        </w:rPr>
      </w:pPr>
    </w:p>
    <w:p w14:paraId="608FA22B">
      <w:pPr>
        <w:rPr>
          <w:rFonts w:eastAsia="黑体"/>
          <w:color w:val="auto"/>
          <w:szCs w:val="21"/>
          <w:highlight w:val="none"/>
          <w:u w:val="single"/>
        </w:rPr>
      </w:pPr>
    </w:p>
    <w:p w14:paraId="33D0FC0D">
      <w:pPr>
        <w:rPr>
          <w:rFonts w:eastAsia="黑体"/>
          <w:color w:val="auto"/>
          <w:szCs w:val="21"/>
          <w:highlight w:val="none"/>
          <w:u w:val="single"/>
        </w:rPr>
      </w:pPr>
    </w:p>
    <w:p w14:paraId="2D94B057">
      <w:pPr>
        <w:rPr>
          <w:rFonts w:eastAsia="黑体"/>
          <w:color w:val="auto"/>
          <w:szCs w:val="21"/>
          <w:highlight w:val="none"/>
          <w:u w:val="single"/>
        </w:rPr>
      </w:pPr>
    </w:p>
    <w:p w14:paraId="503F5EED">
      <w:pPr>
        <w:rPr>
          <w:rFonts w:eastAsia="黑体"/>
          <w:color w:val="auto"/>
          <w:szCs w:val="21"/>
          <w:highlight w:val="none"/>
          <w:u w:val="single"/>
        </w:rPr>
      </w:pPr>
    </w:p>
    <w:p w14:paraId="690534B1">
      <w:pPr>
        <w:rPr>
          <w:rFonts w:eastAsia="黑体"/>
          <w:color w:val="auto"/>
          <w:szCs w:val="21"/>
          <w:highlight w:val="none"/>
          <w:u w:val="single"/>
        </w:rPr>
      </w:pPr>
    </w:p>
    <w:p w14:paraId="28A134CB">
      <w:pPr>
        <w:rPr>
          <w:rFonts w:eastAsia="黑体"/>
          <w:color w:val="auto"/>
          <w:szCs w:val="21"/>
          <w:highlight w:val="none"/>
          <w:u w:val="single"/>
        </w:rPr>
      </w:pPr>
    </w:p>
    <w:p w14:paraId="7923ABD9">
      <w:pPr>
        <w:rPr>
          <w:rFonts w:eastAsia="黑体"/>
          <w:color w:val="auto"/>
          <w:szCs w:val="21"/>
          <w:highlight w:val="none"/>
          <w:u w:val="single"/>
        </w:rPr>
      </w:pPr>
    </w:p>
    <w:p w14:paraId="4E891E06">
      <w:pPr>
        <w:rPr>
          <w:rFonts w:eastAsia="黑体"/>
          <w:color w:val="auto"/>
          <w:szCs w:val="21"/>
          <w:highlight w:val="none"/>
          <w:u w:val="single"/>
        </w:rPr>
      </w:pPr>
    </w:p>
    <w:p w14:paraId="4F401947">
      <w:pPr>
        <w:rPr>
          <w:rFonts w:eastAsia="黑体"/>
          <w:color w:val="auto"/>
          <w:szCs w:val="21"/>
          <w:highlight w:val="none"/>
          <w:u w:val="single"/>
        </w:rPr>
      </w:pPr>
    </w:p>
    <w:p w14:paraId="46FF1D06">
      <w:pPr>
        <w:rPr>
          <w:rFonts w:eastAsia="黑体"/>
          <w:color w:val="auto"/>
          <w:szCs w:val="21"/>
          <w:highlight w:val="none"/>
          <w:u w:val="single"/>
        </w:rPr>
      </w:pPr>
    </w:p>
    <w:p w14:paraId="1B5597E5">
      <w:pPr>
        <w:rPr>
          <w:rFonts w:eastAsia="黑体"/>
          <w:color w:val="auto"/>
          <w:szCs w:val="21"/>
          <w:highlight w:val="none"/>
          <w:u w:val="single"/>
        </w:rPr>
      </w:pPr>
    </w:p>
    <w:p w14:paraId="6C2239E5">
      <w:pPr>
        <w:widowControl/>
        <w:spacing w:line="360" w:lineRule="auto"/>
        <w:jc w:val="left"/>
        <w:rPr>
          <w:rFonts w:eastAsia="黑体"/>
          <w:color w:val="auto"/>
          <w:kern w:val="0"/>
          <w:sz w:val="24"/>
          <w:szCs w:val="28"/>
          <w:highlight w:val="none"/>
        </w:rPr>
      </w:pPr>
      <w:r>
        <w:rPr>
          <w:rFonts w:eastAsia="黑体"/>
          <w:color w:val="auto"/>
          <w:kern w:val="0"/>
          <w:sz w:val="24"/>
          <w:szCs w:val="28"/>
          <w:highlight w:val="none"/>
        </w:rPr>
        <w:t xml:space="preserve">          </w:t>
      </w:r>
      <w:r>
        <w:rPr>
          <w:rFonts w:hint="eastAsia" w:eastAsia="黑体"/>
          <w:color w:val="auto"/>
          <w:kern w:val="0"/>
          <w:sz w:val="24"/>
          <w:szCs w:val="28"/>
          <w:highlight w:val="none"/>
          <w:lang w:val="en-US" w:eastAsia="zh-CN"/>
        </w:rPr>
        <w:t xml:space="preserve">   </w:t>
      </w:r>
      <w:r>
        <w:rPr>
          <w:rFonts w:eastAsia="黑体"/>
          <w:color w:val="auto"/>
          <w:kern w:val="0"/>
          <w:sz w:val="24"/>
          <w:szCs w:val="28"/>
          <w:highlight w:val="none"/>
        </w:rPr>
        <w:t>投标人：</w:t>
      </w:r>
      <w:r>
        <w:rPr>
          <w:rFonts w:eastAsia="黑体"/>
          <w:color w:val="auto"/>
          <w:kern w:val="0"/>
          <w:sz w:val="24"/>
          <w:szCs w:val="28"/>
          <w:highlight w:val="none"/>
          <w:u w:val="single"/>
        </w:rPr>
        <w:t xml:space="preserve">                                     </w:t>
      </w:r>
      <w:r>
        <w:rPr>
          <w:rFonts w:eastAsia="黑体"/>
          <w:color w:val="auto"/>
          <w:kern w:val="0"/>
          <w:sz w:val="24"/>
          <w:szCs w:val="28"/>
          <w:highlight w:val="none"/>
        </w:rPr>
        <w:t>（盖单位章）</w:t>
      </w:r>
    </w:p>
    <w:p w14:paraId="0760AA31">
      <w:pPr>
        <w:rPr>
          <w:rFonts w:eastAsia="黑体"/>
          <w:color w:val="auto"/>
          <w:sz w:val="24"/>
          <w:szCs w:val="21"/>
          <w:highlight w:val="none"/>
        </w:rPr>
      </w:pPr>
      <w:r>
        <w:rPr>
          <w:rFonts w:eastAsia="黑体"/>
          <w:color w:val="auto"/>
          <w:sz w:val="24"/>
          <w:szCs w:val="21"/>
          <w:highlight w:val="none"/>
        </w:rPr>
        <w:br w:type="page"/>
      </w:r>
    </w:p>
    <w:p w14:paraId="56D41163">
      <w:pPr>
        <w:adjustRightInd w:val="0"/>
        <w:snapToGrid w:val="0"/>
        <w:spacing w:line="400" w:lineRule="atLeast"/>
        <w:ind w:firstLine="560" w:firstLineChars="200"/>
        <w:jc w:val="center"/>
        <w:outlineLvl w:val="1"/>
        <w:rPr>
          <w:rFonts w:eastAsia="黑体"/>
          <w:color w:val="auto"/>
          <w:sz w:val="28"/>
          <w:szCs w:val="28"/>
          <w:highlight w:val="none"/>
        </w:rPr>
      </w:pPr>
      <w:bookmarkStart w:id="1542" w:name="_Toc17586"/>
      <w:r>
        <w:rPr>
          <w:rFonts w:eastAsia="黑体"/>
          <w:color w:val="auto"/>
          <w:sz w:val="28"/>
          <w:szCs w:val="28"/>
          <w:highlight w:val="none"/>
        </w:rPr>
        <w:t>施工组织设计编制要求</w:t>
      </w:r>
      <w:bookmarkEnd w:id="1542"/>
    </w:p>
    <w:p w14:paraId="5F1041C1">
      <w:pPr>
        <w:rPr>
          <w:color w:val="auto"/>
          <w:highlight w:val="none"/>
        </w:rPr>
      </w:pPr>
    </w:p>
    <w:p w14:paraId="4D698613">
      <w:pPr>
        <w:spacing w:line="360" w:lineRule="auto"/>
        <w:ind w:firstLine="420" w:firstLineChars="200"/>
        <w:rPr>
          <w:color w:val="auto"/>
          <w:highlight w:val="none"/>
        </w:rPr>
      </w:pPr>
      <w:r>
        <w:rPr>
          <w:color w:val="auto"/>
          <w:highlight w:val="none"/>
        </w:rPr>
        <w:t>“经评审的最低投标价法”的施工组织设计采用明标方式评审，</w:t>
      </w:r>
      <w:r>
        <w:rPr>
          <w:color w:val="auto"/>
          <w:szCs w:val="21"/>
          <w:highlight w:val="none"/>
        </w:rPr>
        <w:t>投标人应当根据</w:t>
      </w:r>
      <w:r>
        <w:rPr>
          <w:color w:val="auto"/>
          <w:highlight w:val="none"/>
        </w:rPr>
        <w:t>湘建监督〔</w:t>
      </w:r>
      <w:r>
        <w:rPr>
          <w:rFonts w:hint="eastAsia"/>
          <w:color w:val="auto"/>
          <w:highlight w:val="none"/>
          <w:lang w:val="en-US" w:eastAsia="zh-CN"/>
        </w:rPr>
        <w:t xml:space="preserve">2024 </w:t>
      </w:r>
      <w:r>
        <w:rPr>
          <w:color w:val="auto"/>
          <w:highlight w:val="none"/>
        </w:rPr>
        <w:t>〕</w:t>
      </w:r>
      <w:r>
        <w:rPr>
          <w:rFonts w:hint="eastAsia"/>
          <w:color w:val="auto"/>
          <w:highlight w:val="none"/>
          <w:lang w:val="en-US" w:eastAsia="zh-CN"/>
        </w:rPr>
        <w:t>33</w:t>
      </w:r>
      <w:r>
        <w:rPr>
          <w:rFonts w:hint="eastAsia"/>
          <w:color w:val="auto"/>
          <w:highlight w:val="none"/>
        </w:rPr>
        <w:t xml:space="preserve"> </w:t>
      </w:r>
      <w:r>
        <w:rPr>
          <w:color w:val="auto"/>
          <w:highlight w:val="none"/>
        </w:rPr>
        <w:t>号文件规定的评审内容编制施工组织设计，具体包括下列内容（按此顺序）：</w:t>
      </w:r>
    </w:p>
    <w:p w14:paraId="7FBB0A48">
      <w:pPr>
        <w:adjustRightInd w:val="0"/>
        <w:snapToGrid w:val="0"/>
        <w:spacing w:line="360" w:lineRule="auto"/>
        <w:ind w:firstLine="420" w:firstLineChars="200"/>
        <w:jc w:val="left"/>
        <w:rPr>
          <w:color w:val="auto"/>
          <w:highlight w:val="none"/>
        </w:rPr>
      </w:pPr>
      <w:r>
        <w:rPr>
          <w:color w:val="auto"/>
          <w:highlight w:val="none"/>
        </w:rPr>
        <w:t>1.施工方案与技术措施；</w:t>
      </w:r>
    </w:p>
    <w:p w14:paraId="65DDA887">
      <w:pPr>
        <w:adjustRightInd w:val="0"/>
        <w:snapToGrid w:val="0"/>
        <w:spacing w:line="360" w:lineRule="auto"/>
        <w:ind w:firstLine="420" w:firstLineChars="200"/>
        <w:jc w:val="left"/>
        <w:rPr>
          <w:color w:val="auto"/>
          <w:highlight w:val="none"/>
        </w:rPr>
      </w:pPr>
      <w:r>
        <w:rPr>
          <w:color w:val="auto"/>
          <w:highlight w:val="none"/>
        </w:rPr>
        <w:t>2.质量管理体系与措施；</w:t>
      </w:r>
    </w:p>
    <w:p w14:paraId="1492DC05">
      <w:pPr>
        <w:spacing w:line="360" w:lineRule="auto"/>
        <w:ind w:firstLine="420" w:firstLineChars="200"/>
        <w:rPr>
          <w:color w:val="auto"/>
          <w:highlight w:val="none"/>
        </w:rPr>
      </w:pPr>
      <w:r>
        <w:rPr>
          <w:color w:val="auto"/>
          <w:highlight w:val="none"/>
        </w:rPr>
        <w:t>3.</w:t>
      </w:r>
      <w:r>
        <w:rPr>
          <w:color w:val="auto"/>
          <w:szCs w:val="21"/>
          <w:highlight w:val="none"/>
        </w:rPr>
        <w:t>安全管理</w:t>
      </w:r>
      <w:r>
        <w:rPr>
          <w:color w:val="auto"/>
          <w:highlight w:val="none"/>
        </w:rPr>
        <w:t>体系与措施；</w:t>
      </w:r>
    </w:p>
    <w:p w14:paraId="58E8D068">
      <w:pPr>
        <w:adjustRightInd w:val="0"/>
        <w:snapToGrid w:val="0"/>
        <w:spacing w:line="360" w:lineRule="auto"/>
        <w:jc w:val="left"/>
        <w:rPr>
          <w:color w:val="auto"/>
          <w:sz w:val="18"/>
          <w:szCs w:val="18"/>
          <w:highlight w:val="none"/>
        </w:rPr>
      </w:pPr>
    </w:p>
    <w:p w14:paraId="0105FA45">
      <w:pPr>
        <w:adjustRightInd w:val="0"/>
        <w:snapToGrid w:val="0"/>
        <w:spacing w:line="360" w:lineRule="auto"/>
        <w:jc w:val="left"/>
        <w:rPr>
          <w:color w:val="auto"/>
          <w:sz w:val="18"/>
          <w:szCs w:val="18"/>
          <w:highlight w:val="none"/>
        </w:rPr>
      </w:pPr>
      <w:r>
        <w:rPr>
          <w:rFonts w:hint="eastAsia"/>
          <w:color w:val="auto"/>
          <w:sz w:val="18"/>
          <w:szCs w:val="18"/>
          <w:highlight w:val="none"/>
        </w:rPr>
        <w:t>说明</w:t>
      </w:r>
      <w:r>
        <w:rPr>
          <w:color w:val="auto"/>
          <w:sz w:val="18"/>
          <w:szCs w:val="18"/>
          <w:highlight w:val="none"/>
        </w:rPr>
        <w:t>：如有合理化建议，不单独列出，各投标人将相关内容融入各相应章节。</w:t>
      </w:r>
    </w:p>
    <w:p w14:paraId="20F182D6">
      <w:pPr>
        <w:spacing w:before="0" w:line="240" w:lineRule="auto"/>
        <w:rPr>
          <w:rFonts w:ascii="宋体" w:hAnsi="宋体" w:eastAsia="宋体" w:cs="宋体"/>
          <w:color w:val="auto"/>
          <w:sz w:val="18"/>
          <w:szCs w:val="18"/>
        </w:rPr>
      </w:pPr>
    </w:p>
    <w:p w14:paraId="2DEFA289">
      <w:pPr>
        <w:pStyle w:val="6"/>
        <w:rPr>
          <w:rFonts w:hint="eastAsia" w:ascii="宋体" w:hAnsi="宋体" w:eastAsia="宋体" w:cs="宋体"/>
          <w:color w:val="auto"/>
          <w:highlight w:val="none"/>
        </w:rPr>
      </w:pPr>
    </w:p>
    <w:p w14:paraId="62732D28">
      <w:pPr>
        <w:rPr>
          <w:rFonts w:hint="eastAsia"/>
          <w:color w:val="auto"/>
        </w:rPr>
      </w:pPr>
    </w:p>
    <w:sectPr>
      <w:footerReference r:id="rId12" w:type="default"/>
      <w:pgSz w:w="11907" w:h="16840"/>
      <w:pgMar w:top="1440" w:right="1440" w:bottom="1440" w:left="1440" w:header="851" w:footer="85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方正书宋_GBK">
    <w:altName w:val="微软雅黑"/>
    <w:panose1 w:val="03000509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60645">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17BD6">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717BD6">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B20B">
    <w:pPr>
      <w:pStyle w:val="30"/>
      <w:rPr>
        <w:rFonts w:ascii="宋体" w:hAnsi="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7746A9">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7746A9">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72EB8">
    <w:pPr>
      <w:pStyle w:val="3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CE466">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26CE466">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27</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1F807">
    <w:pPr>
      <w:pStyle w:val="30"/>
      <w:jc w:val="center"/>
      <w:rPr>
        <w:rFonts w:ascii="宋体" w:hAnsi="宋体"/>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8A383">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738A383">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C5881">
    <w:pPr>
      <w:pStyle w:val="30"/>
      <w:rPr>
        <w:rFonts w:hint="default"/>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751F4">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3751F4">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4538">
    <w:pPr>
      <w:pStyle w:val="30"/>
      <w:rPr>
        <w:rFonts w:ascii="宋体" w:hAnsi="宋体"/>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2AD531">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32AD531">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33</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0728F">
    <w:pPr>
      <w:pStyle w:val="30"/>
      <w:rPr>
        <w:rFonts w:hint="default" w:eastAsia="宋体"/>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9AC18B">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D9AC18B">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32</w:t>
                    </w:r>
                    <w:r>
                      <w:rPr>
                        <w:rFonts w:hint="eastAsia"/>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D2DAD">
    <w:pPr>
      <w:pStyle w:val="30"/>
      <w:rPr>
        <w:rFonts w:ascii="宋体" w:hAnsi="宋体"/>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4FB07B">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04FB07B">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63</w:t>
                    </w:r>
                    <w:r>
                      <w:rPr>
                        <w:rFonts w:hint="eastAsia"/>
                        <w:lang w:eastAsia="zh-CN"/>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BB1CD">
    <w:pPr>
      <w:pStyle w:val="3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B2BBDF">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6B2BBDF">
                    <w:pPr>
                      <w:pStyle w:val="3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3BB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21B81A"/>
    <w:multiLevelType w:val="singleLevel"/>
    <w:tmpl w:val="E221B81A"/>
    <w:lvl w:ilvl="0" w:tentative="0">
      <w:start w:val="1"/>
      <w:numFmt w:val="decimal"/>
      <w:suff w:val="nothing"/>
      <w:lvlText w:val="（%1）"/>
      <w:lvlJc w:val="left"/>
    </w:lvl>
  </w:abstractNum>
  <w:abstractNum w:abstractNumId="1">
    <w:nsid w:val="0D8882C0"/>
    <w:multiLevelType w:val="singleLevel"/>
    <w:tmpl w:val="0D8882C0"/>
    <w:lvl w:ilvl="0" w:tentative="0">
      <w:start w:val="4"/>
      <w:numFmt w:val="decimal"/>
      <w:lvlText w:val="%1."/>
      <w:lvlJc w:val="left"/>
      <w:pPr>
        <w:tabs>
          <w:tab w:val="left" w:pos="312"/>
        </w:tabs>
      </w:pPr>
    </w:lvl>
  </w:abstractNum>
  <w:abstractNum w:abstractNumId="2">
    <w:nsid w:val="5CF0CE0C"/>
    <w:multiLevelType w:val="singleLevel"/>
    <w:tmpl w:val="5CF0CE0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ZTg4ZTAxYjVlNGU5NTZhMmE4MTQ5ZDQ0ZDUyZDMifQ=="/>
  </w:docVars>
  <w:rsids>
    <w:rsidRoot w:val="00172A27"/>
    <w:rsid w:val="0000012A"/>
    <w:rsid w:val="00000419"/>
    <w:rsid w:val="00001661"/>
    <w:rsid w:val="000017EF"/>
    <w:rsid w:val="00001EBE"/>
    <w:rsid w:val="00002B9C"/>
    <w:rsid w:val="00003E74"/>
    <w:rsid w:val="00006179"/>
    <w:rsid w:val="000072F2"/>
    <w:rsid w:val="000077BA"/>
    <w:rsid w:val="0001026F"/>
    <w:rsid w:val="00010A79"/>
    <w:rsid w:val="00010E33"/>
    <w:rsid w:val="00010E3D"/>
    <w:rsid w:val="000110F2"/>
    <w:rsid w:val="00011D1C"/>
    <w:rsid w:val="00011E53"/>
    <w:rsid w:val="000124E1"/>
    <w:rsid w:val="00013B8E"/>
    <w:rsid w:val="000143C6"/>
    <w:rsid w:val="00015048"/>
    <w:rsid w:val="00021910"/>
    <w:rsid w:val="0002245E"/>
    <w:rsid w:val="00022B7F"/>
    <w:rsid w:val="00023378"/>
    <w:rsid w:val="00023647"/>
    <w:rsid w:val="000236D4"/>
    <w:rsid w:val="00023A43"/>
    <w:rsid w:val="000247D1"/>
    <w:rsid w:val="00025DA7"/>
    <w:rsid w:val="00025FC6"/>
    <w:rsid w:val="000260C3"/>
    <w:rsid w:val="000304C7"/>
    <w:rsid w:val="00030732"/>
    <w:rsid w:val="00030909"/>
    <w:rsid w:val="0003143E"/>
    <w:rsid w:val="00031D21"/>
    <w:rsid w:val="0003301E"/>
    <w:rsid w:val="000339CF"/>
    <w:rsid w:val="00033B73"/>
    <w:rsid w:val="00033D2B"/>
    <w:rsid w:val="00033F28"/>
    <w:rsid w:val="00034BC3"/>
    <w:rsid w:val="0003592D"/>
    <w:rsid w:val="00035EF7"/>
    <w:rsid w:val="00037802"/>
    <w:rsid w:val="0004080D"/>
    <w:rsid w:val="00040E6E"/>
    <w:rsid w:val="000410E0"/>
    <w:rsid w:val="00041860"/>
    <w:rsid w:val="00041A17"/>
    <w:rsid w:val="00042481"/>
    <w:rsid w:val="00042805"/>
    <w:rsid w:val="00043C85"/>
    <w:rsid w:val="00044C89"/>
    <w:rsid w:val="000456C5"/>
    <w:rsid w:val="000460BB"/>
    <w:rsid w:val="000477E0"/>
    <w:rsid w:val="000509BE"/>
    <w:rsid w:val="00050A9D"/>
    <w:rsid w:val="00050AB0"/>
    <w:rsid w:val="000514EB"/>
    <w:rsid w:val="0005359C"/>
    <w:rsid w:val="000549C7"/>
    <w:rsid w:val="0005509E"/>
    <w:rsid w:val="00055BCC"/>
    <w:rsid w:val="00056B38"/>
    <w:rsid w:val="00056C54"/>
    <w:rsid w:val="00057D18"/>
    <w:rsid w:val="000601DC"/>
    <w:rsid w:val="0006183F"/>
    <w:rsid w:val="0006219A"/>
    <w:rsid w:val="00063BCA"/>
    <w:rsid w:val="000646B0"/>
    <w:rsid w:val="00064EC4"/>
    <w:rsid w:val="00065172"/>
    <w:rsid w:val="00065F29"/>
    <w:rsid w:val="00066B04"/>
    <w:rsid w:val="00066D53"/>
    <w:rsid w:val="0007046E"/>
    <w:rsid w:val="000716E4"/>
    <w:rsid w:val="00071978"/>
    <w:rsid w:val="000725A8"/>
    <w:rsid w:val="00072C18"/>
    <w:rsid w:val="000731D9"/>
    <w:rsid w:val="000746E8"/>
    <w:rsid w:val="00074A88"/>
    <w:rsid w:val="00075666"/>
    <w:rsid w:val="0007615A"/>
    <w:rsid w:val="00076278"/>
    <w:rsid w:val="00077006"/>
    <w:rsid w:val="0007730E"/>
    <w:rsid w:val="00077337"/>
    <w:rsid w:val="00077482"/>
    <w:rsid w:val="00077CF6"/>
    <w:rsid w:val="00080E31"/>
    <w:rsid w:val="00080EE9"/>
    <w:rsid w:val="000816F4"/>
    <w:rsid w:val="000823F8"/>
    <w:rsid w:val="000827F0"/>
    <w:rsid w:val="00083B3D"/>
    <w:rsid w:val="0008418D"/>
    <w:rsid w:val="000844E6"/>
    <w:rsid w:val="00085D38"/>
    <w:rsid w:val="00085E16"/>
    <w:rsid w:val="00090BC8"/>
    <w:rsid w:val="0009141B"/>
    <w:rsid w:val="00092B1C"/>
    <w:rsid w:val="000932FD"/>
    <w:rsid w:val="00093D97"/>
    <w:rsid w:val="0009654B"/>
    <w:rsid w:val="00097B15"/>
    <w:rsid w:val="000A0C74"/>
    <w:rsid w:val="000A15B9"/>
    <w:rsid w:val="000A1639"/>
    <w:rsid w:val="000A1DE5"/>
    <w:rsid w:val="000A212C"/>
    <w:rsid w:val="000A3B3B"/>
    <w:rsid w:val="000A4843"/>
    <w:rsid w:val="000A5DE3"/>
    <w:rsid w:val="000A69A2"/>
    <w:rsid w:val="000A6C78"/>
    <w:rsid w:val="000A732F"/>
    <w:rsid w:val="000B069F"/>
    <w:rsid w:val="000B2089"/>
    <w:rsid w:val="000B240C"/>
    <w:rsid w:val="000B2564"/>
    <w:rsid w:val="000B25B6"/>
    <w:rsid w:val="000B2885"/>
    <w:rsid w:val="000B3083"/>
    <w:rsid w:val="000B4391"/>
    <w:rsid w:val="000B4868"/>
    <w:rsid w:val="000B5054"/>
    <w:rsid w:val="000B57D0"/>
    <w:rsid w:val="000B5BB7"/>
    <w:rsid w:val="000B6E27"/>
    <w:rsid w:val="000B7C7E"/>
    <w:rsid w:val="000B7E45"/>
    <w:rsid w:val="000C0D35"/>
    <w:rsid w:val="000C0DF9"/>
    <w:rsid w:val="000C157D"/>
    <w:rsid w:val="000C19F1"/>
    <w:rsid w:val="000C35B2"/>
    <w:rsid w:val="000C39B6"/>
    <w:rsid w:val="000C4938"/>
    <w:rsid w:val="000C50B7"/>
    <w:rsid w:val="000C550E"/>
    <w:rsid w:val="000C6D5B"/>
    <w:rsid w:val="000C7475"/>
    <w:rsid w:val="000C7D35"/>
    <w:rsid w:val="000D0040"/>
    <w:rsid w:val="000D0398"/>
    <w:rsid w:val="000D320F"/>
    <w:rsid w:val="000D47F5"/>
    <w:rsid w:val="000D49EC"/>
    <w:rsid w:val="000D4F77"/>
    <w:rsid w:val="000D5451"/>
    <w:rsid w:val="000D5900"/>
    <w:rsid w:val="000D7BC4"/>
    <w:rsid w:val="000E100D"/>
    <w:rsid w:val="000E15F8"/>
    <w:rsid w:val="000E1C8B"/>
    <w:rsid w:val="000E33FF"/>
    <w:rsid w:val="000E3DCD"/>
    <w:rsid w:val="000E3FD7"/>
    <w:rsid w:val="000E494A"/>
    <w:rsid w:val="000E4A30"/>
    <w:rsid w:val="000E55CC"/>
    <w:rsid w:val="000E738A"/>
    <w:rsid w:val="000F1449"/>
    <w:rsid w:val="000F1BED"/>
    <w:rsid w:val="000F1E3E"/>
    <w:rsid w:val="000F24DF"/>
    <w:rsid w:val="000F2533"/>
    <w:rsid w:val="000F2A7D"/>
    <w:rsid w:val="000F2F57"/>
    <w:rsid w:val="000F3958"/>
    <w:rsid w:val="000F4252"/>
    <w:rsid w:val="000F458E"/>
    <w:rsid w:val="000F47DB"/>
    <w:rsid w:val="000F536E"/>
    <w:rsid w:val="000F6D7B"/>
    <w:rsid w:val="0010039A"/>
    <w:rsid w:val="001009E7"/>
    <w:rsid w:val="00100A0D"/>
    <w:rsid w:val="001022A2"/>
    <w:rsid w:val="00102524"/>
    <w:rsid w:val="00102D90"/>
    <w:rsid w:val="00103D42"/>
    <w:rsid w:val="001044BB"/>
    <w:rsid w:val="00105D95"/>
    <w:rsid w:val="001063B6"/>
    <w:rsid w:val="001063ED"/>
    <w:rsid w:val="00110001"/>
    <w:rsid w:val="00110BAA"/>
    <w:rsid w:val="00110E41"/>
    <w:rsid w:val="001128F6"/>
    <w:rsid w:val="001133E8"/>
    <w:rsid w:val="00113400"/>
    <w:rsid w:val="001134DA"/>
    <w:rsid w:val="00113569"/>
    <w:rsid w:val="001149B3"/>
    <w:rsid w:val="00114E9A"/>
    <w:rsid w:val="00120E42"/>
    <w:rsid w:val="0012105F"/>
    <w:rsid w:val="00121DB8"/>
    <w:rsid w:val="00122A22"/>
    <w:rsid w:val="00123C2D"/>
    <w:rsid w:val="00124748"/>
    <w:rsid w:val="0012535A"/>
    <w:rsid w:val="00125BBA"/>
    <w:rsid w:val="00125FA2"/>
    <w:rsid w:val="00125FE0"/>
    <w:rsid w:val="0012612A"/>
    <w:rsid w:val="0012714D"/>
    <w:rsid w:val="00127D73"/>
    <w:rsid w:val="001302F1"/>
    <w:rsid w:val="0013039A"/>
    <w:rsid w:val="001309B7"/>
    <w:rsid w:val="0013172B"/>
    <w:rsid w:val="00131A66"/>
    <w:rsid w:val="001321A3"/>
    <w:rsid w:val="00133444"/>
    <w:rsid w:val="001336CC"/>
    <w:rsid w:val="001336EB"/>
    <w:rsid w:val="00134F96"/>
    <w:rsid w:val="00135863"/>
    <w:rsid w:val="001379AC"/>
    <w:rsid w:val="00141437"/>
    <w:rsid w:val="00141822"/>
    <w:rsid w:val="00142830"/>
    <w:rsid w:val="00142A16"/>
    <w:rsid w:val="00144E41"/>
    <w:rsid w:val="0014627A"/>
    <w:rsid w:val="001462F6"/>
    <w:rsid w:val="00147330"/>
    <w:rsid w:val="001477FD"/>
    <w:rsid w:val="001479A2"/>
    <w:rsid w:val="00147D27"/>
    <w:rsid w:val="00150643"/>
    <w:rsid w:val="001509F4"/>
    <w:rsid w:val="00151B63"/>
    <w:rsid w:val="00151FB5"/>
    <w:rsid w:val="00154052"/>
    <w:rsid w:val="001546C6"/>
    <w:rsid w:val="00154FF1"/>
    <w:rsid w:val="00155573"/>
    <w:rsid w:val="00155596"/>
    <w:rsid w:val="0015715B"/>
    <w:rsid w:val="0016053D"/>
    <w:rsid w:val="001607AD"/>
    <w:rsid w:val="001625CB"/>
    <w:rsid w:val="00163B47"/>
    <w:rsid w:val="00163BF1"/>
    <w:rsid w:val="001645ED"/>
    <w:rsid w:val="001647CA"/>
    <w:rsid w:val="00165400"/>
    <w:rsid w:val="0016562D"/>
    <w:rsid w:val="001656C6"/>
    <w:rsid w:val="00167203"/>
    <w:rsid w:val="001701F2"/>
    <w:rsid w:val="00170487"/>
    <w:rsid w:val="001709ED"/>
    <w:rsid w:val="00171938"/>
    <w:rsid w:val="00172A27"/>
    <w:rsid w:val="00174080"/>
    <w:rsid w:val="00174D63"/>
    <w:rsid w:val="001753A4"/>
    <w:rsid w:val="00175746"/>
    <w:rsid w:val="001759CE"/>
    <w:rsid w:val="001807AA"/>
    <w:rsid w:val="00181A76"/>
    <w:rsid w:val="00182550"/>
    <w:rsid w:val="00183FA7"/>
    <w:rsid w:val="0018442E"/>
    <w:rsid w:val="00184526"/>
    <w:rsid w:val="001848E9"/>
    <w:rsid w:val="001850A2"/>
    <w:rsid w:val="0018678E"/>
    <w:rsid w:val="00187A73"/>
    <w:rsid w:val="00190E5F"/>
    <w:rsid w:val="001916B2"/>
    <w:rsid w:val="00191B87"/>
    <w:rsid w:val="0019233E"/>
    <w:rsid w:val="001929B5"/>
    <w:rsid w:val="0019326F"/>
    <w:rsid w:val="00193795"/>
    <w:rsid w:val="001937ED"/>
    <w:rsid w:val="00193BEB"/>
    <w:rsid w:val="00194B00"/>
    <w:rsid w:val="001963F0"/>
    <w:rsid w:val="00197171"/>
    <w:rsid w:val="001971B3"/>
    <w:rsid w:val="00197C09"/>
    <w:rsid w:val="001A10B7"/>
    <w:rsid w:val="001A31C0"/>
    <w:rsid w:val="001A34F1"/>
    <w:rsid w:val="001A3529"/>
    <w:rsid w:val="001A42BF"/>
    <w:rsid w:val="001A5479"/>
    <w:rsid w:val="001A575C"/>
    <w:rsid w:val="001A5F4D"/>
    <w:rsid w:val="001A5FA8"/>
    <w:rsid w:val="001A66C5"/>
    <w:rsid w:val="001A7BEF"/>
    <w:rsid w:val="001B0197"/>
    <w:rsid w:val="001B1EE2"/>
    <w:rsid w:val="001B2111"/>
    <w:rsid w:val="001B2990"/>
    <w:rsid w:val="001B2B55"/>
    <w:rsid w:val="001B37CB"/>
    <w:rsid w:val="001B39F6"/>
    <w:rsid w:val="001B3C9A"/>
    <w:rsid w:val="001B3F64"/>
    <w:rsid w:val="001B593C"/>
    <w:rsid w:val="001B5FBA"/>
    <w:rsid w:val="001B6ADB"/>
    <w:rsid w:val="001B7695"/>
    <w:rsid w:val="001C07A2"/>
    <w:rsid w:val="001C0963"/>
    <w:rsid w:val="001C1015"/>
    <w:rsid w:val="001C14D8"/>
    <w:rsid w:val="001C2E14"/>
    <w:rsid w:val="001C30FF"/>
    <w:rsid w:val="001C43F1"/>
    <w:rsid w:val="001C4E35"/>
    <w:rsid w:val="001C5163"/>
    <w:rsid w:val="001C518E"/>
    <w:rsid w:val="001D014A"/>
    <w:rsid w:val="001D1644"/>
    <w:rsid w:val="001D3294"/>
    <w:rsid w:val="001D3FB1"/>
    <w:rsid w:val="001D3FB2"/>
    <w:rsid w:val="001D4D10"/>
    <w:rsid w:val="001D55AE"/>
    <w:rsid w:val="001E0A51"/>
    <w:rsid w:val="001E2006"/>
    <w:rsid w:val="001E21D2"/>
    <w:rsid w:val="001E51F0"/>
    <w:rsid w:val="001E5283"/>
    <w:rsid w:val="001E58E4"/>
    <w:rsid w:val="001E596D"/>
    <w:rsid w:val="001E5999"/>
    <w:rsid w:val="001E5AAC"/>
    <w:rsid w:val="001E604B"/>
    <w:rsid w:val="001E6794"/>
    <w:rsid w:val="001E6C29"/>
    <w:rsid w:val="001E7736"/>
    <w:rsid w:val="001E7F10"/>
    <w:rsid w:val="001F037B"/>
    <w:rsid w:val="001F0D6B"/>
    <w:rsid w:val="001F1841"/>
    <w:rsid w:val="001F18F2"/>
    <w:rsid w:val="001F1A73"/>
    <w:rsid w:val="001F1FA2"/>
    <w:rsid w:val="001F21B1"/>
    <w:rsid w:val="001F253E"/>
    <w:rsid w:val="001F31DD"/>
    <w:rsid w:val="001F354E"/>
    <w:rsid w:val="001F4778"/>
    <w:rsid w:val="001F5941"/>
    <w:rsid w:val="001F7131"/>
    <w:rsid w:val="001F7958"/>
    <w:rsid w:val="001F7CBB"/>
    <w:rsid w:val="00200311"/>
    <w:rsid w:val="0020093F"/>
    <w:rsid w:val="00200ECE"/>
    <w:rsid w:val="00201C7A"/>
    <w:rsid w:val="0020269E"/>
    <w:rsid w:val="0020382F"/>
    <w:rsid w:val="00203B75"/>
    <w:rsid w:val="002044B3"/>
    <w:rsid w:val="0020511B"/>
    <w:rsid w:val="002066B6"/>
    <w:rsid w:val="002100BF"/>
    <w:rsid w:val="00210C1C"/>
    <w:rsid w:val="002110AE"/>
    <w:rsid w:val="002111ED"/>
    <w:rsid w:val="00211239"/>
    <w:rsid w:val="00212378"/>
    <w:rsid w:val="00212660"/>
    <w:rsid w:val="002129F9"/>
    <w:rsid w:val="00212B80"/>
    <w:rsid w:val="00213002"/>
    <w:rsid w:val="00213D46"/>
    <w:rsid w:val="00213D47"/>
    <w:rsid w:val="00213E8A"/>
    <w:rsid w:val="00214127"/>
    <w:rsid w:val="0021420B"/>
    <w:rsid w:val="00214383"/>
    <w:rsid w:val="0021443E"/>
    <w:rsid w:val="0021472F"/>
    <w:rsid w:val="00216750"/>
    <w:rsid w:val="00217126"/>
    <w:rsid w:val="002209F0"/>
    <w:rsid w:val="00221357"/>
    <w:rsid w:val="00221885"/>
    <w:rsid w:val="002219CA"/>
    <w:rsid w:val="00221E87"/>
    <w:rsid w:val="00223C02"/>
    <w:rsid w:val="00224096"/>
    <w:rsid w:val="0022412D"/>
    <w:rsid w:val="00224BB7"/>
    <w:rsid w:val="00224BDC"/>
    <w:rsid w:val="00224CBD"/>
    <w:rsid w:val="00224F55"/>
    <w:rsid w:val="00225648"/>
    <w:rsid w:val="002259BE"/>
    <w:rsid w:val="00225C0D"/>
    <w:rsid w:val="0023078C"/>
    <w:rsid w:val="002312F5"/>
    <w:rsid w:val="00232249"/>
    <w:rsid w:val="00232D5D"/>
    <w:rsid w:val="00234911"/>
    <w:rsid w:val="002354C5"/>
    <w:rsid w:val="00236EA2"/>
    <w:rsid w:val="00236F1A"/>
    <w:rsid w:val="00240221"/>
    <w:rsid w:val="00240554"/>
    <w:rsid w:val="002411C0"/>
    <w:rsid w:val="00241EA6"/>
    <w:rsid w:val="002425F2"/>
    <w:rsid w:val="00242D37"/>
    <w:rsid w:val="00242EFB"/>
    <w:rsid w:val="002456C5"/>
    <w:rsid w:val="00245948"/>
    <w:rsid w:val="00245BE1"/>
    <w:rsid w:val="00247671"/>
    <w:rsid w:val="0024767A"/>
    <w:rsid w:val="002506CA"/>
    <w:rsid w:val="0025132B"/>
    <w:rsid w:val="00251360"/>
    <w:rsid w:val="002516C0"/>
    <w:rsid w:val="00252462"/>
    <w:rsid w:val="00252AD0"/>
    <w:rsid w:val="00252FAD"/>
    <w:rsid w:val="0025346F"/>
    <w:rsid w:val="00253AA4"/>
    <w:rsid w:val="00254005"/>
    <w:rsid w:val="0025435A"/>
    <w:rsid w:val="00254581"/>
    <w:rsid w:val="00254AD9"/>
    <w:rsid w:val="00254F9A"/>
    <w:rsid w:val="00256F9B"/>
    <w:rsid w:val="0026091C"/>
    <w:rsid w:val="002637B7"/>
    <w:rsid w:val="00263B77"/>
    <w:rsid w:val="00264149"/>
    <w:rsid w:val="002641C6"/>
    <w:rsid w:val="0026462C"/>
    <w:rsid w:val="00266064"/>
    <w:rsid w:val="00272A69"/>
    <w:rsid w:val="00272F81"/>
    <w:rsid w:val="00273597"/>
    <w:rsid w:val="0027399E"/>
    <w:rsid w:val="002741BB"/>
    <w:rsid w:val="00274426"/>
    <w:rsid w:val="00274592"/>
    <w:rsid w:val="0027479F"/>
    <w:rsid w:val="00274A1D"/>
    <w:rsid w:val="00274C58"/>
    <w:rsid w:val="00274E07"/>
    <w:rsid w:val="00274F2A"/>
    <w:rsid w:val="002758FD"/>
    <w:rsid w:val="0027603A"/>
    <w:rsid w:val="00276971"/>
    <w:rsid w:val="00276C74"/>
    <w:rsid w:val="0028002F"/>
    <w:rsid w:val="00280150"/>
    <w:rsid w:val="00280C8B"/>
    <w:rsid w:val="00283304"/>
    <w:rsid w:val="00283BBA"/>
    <w:rsid w:val="00284179"/>
    <w:rsid w:val="002849FC"/>
    <w:rsid w:val="0028507D"/>
    <w:rsid w:val="00285520"/>
    <w:rsid w:val="00285E0E"/>
    <w:rsid w:val="00286C5D"/>
    <w:rsid w:val="00286F67"/>
    <w:rsid w:val="002870A4"/>
    <w:rsid w:val="002879DB"/>
    <w:rsid w:val="00290ED2"/>
    <w:rsid w:val="002921BD"/>
    <w:rsid w:val="002926AA"/>
    <w:rsid w:val="00292958"/>
    <w:rsid w:val="00292C0C"/>
    <w:rsid w:val="00292E30"/>
    <w:rsid w:val="0029307D"/>
    <w:rsid w:val="002930BE"/>
    <w:rsid w:val="002937C3"/>
    <w:rsid w:val="00293A46"/>
    <w:rsid w:val="00293B78"/>
    <w:rsid w:val="00294125"/>
    <w:rsid w:val="00294432"/>
    <w:rsid w:val="00295335"/>
    <w:rsid w:val="00296937"/>
    <w:rsid w:val="00296C1B"/>
    <w:rsid w:val="0029726C"/>
    <w:rsid w:val="002A03B0"/>
    <w:rsid w:val="002A121B"/>
    <w:rsid w:val="002A1BBC"/>
    <w:rsid w:val="002A201F"/>
    <w:rsid w:val="002A2229"/>
    <w:rsid w:val="002A22B2"/>
    <w:rsid w:val="002A4C0D"/>
    <w:rsid w:val="002A50DF"/>
    <w:rsid w:val="002A663B"/>
    <w:rsid w:val="002A70FE"/>
    <w:rsid w:val="002A7623"/>
    <w:rsid w:val="002A7805"/>
    <w:rsid w:val="002A7E5A"/>
    <w:rsid w:val="002B0607"/>
    <w:rsid w:val="002B08CE"/>
    <w:rsid w:val="002B14F7"/>
    <w:rsid w:val="002B25DB"/>
    <w:rsid w:val="002B355C"/>
    <w:rsid w:val="002B3BCE"/>
    <w:rsid w:val="002B4787"/>
    <w:rsid w:val="002B4E1B"/>
    <w:rsid w:val="002B51B5"/>
    <w:rsid w:val="002B58D3"/>
    <w:rsid w:val="002B6307"/>
    <w:rsid w:val="002B65E9"/>
    <w:rsid w:val="002C0210"/>
    <w:rsid w:val="002C05C1"/>
    <w:rsid w:val="002C197A"/>
    <w:rsid w:val="002C1B19"/>
    <w:rsid w:val="002C1C2C"/>
    <w:rsid w:val="002C29C9"/>
    <w:rsid w:val="002C2A5C"/>
    <w:rsid w:val="002C48A4"/>
    <w:rsid w:val="002C4CDA"/>
    <w:rsid w:val="002C6383"/>
    <w:rsid w:val="002C6EF9"/>
    <w:rsid w:val="002C700E"/>
    <w:rsid w:val="002C765C"/>
    <w:rsid w:val="002C79A1"/>
    <w:rsid w:val="002D0A26"/>
    <w:rsid w:val="002D0E39"/>
    <w:rsid w:val="002D2FA4"/>
    <w:rsid w:val="002D450B"/>
    <w:rsid w:val="002D4A45"/>
    <w:rsid w:val="002D533C"/>
    <w:rsid w:val="002D589E"/>
    <w:rsid w:val="002D5B19"/>
    <w:rsid w:val="002D5B58"/>
    <w:rsid w:val="002D5B82"/>
    <w:rsid w:val="002D697E"/>
    <w:rsid w:val="002D6F6C"/>
    <w:rsid w:val="002D725C"/>
    <w:rsid w:val="002D7BCF"/>
    <w:rsid w:val="002E0625"/>
    <w:rsid w:val="002E0A66"/>
    <w:rsid w:val="002E12CD"/>
    <w:rsid w:val="002E21EE"/>
    <w:rsid w:val="002E2AA2"/>
    <w:rsid w:val="002E2FAD"/>
    <w:rsid w:val="002E35ED"/>
    <w:rsid w:val="002E4053"/>
    <w:rsid w:val="002E4625"/>
    <w:rsid w:val="002E46C2"/>
    <w:rsid w:val="002E4B82"/>
    <w:rsid w:val="002E4D13"/>
    <w:rsid w:val="002E4F7D"/>
    <w:rsid w:val="002E59B4"/>
    <w:rsid w:val="002E6A8D"/>
    <w:rsid w:val="002E6B96"/>
    <w:rsid w:val="002E7A59"/>
    <w:rsid w:val="002E7F08"/>
    <w:rsid w:val="002F24FF"/>
    <w:rsid w:val="002F2600"/>
    <w:rsid w:val="002F27FD"/>
    <w:rsid w:val="002F2906"/>
    <w:rsid w:val="002F3195"/>
    <w:rsid w:val="002F363B"/>
    <w:rsid w:val="002F37E5"/>
    <w:rsid w:val="002F3CDB"/>
    <w:rsid w:val="002F65E8"/>
    <w:rsid w:val="003002F7"/>
    <w:rsid w:val="00300D6E"/>
    <w:rsid w:val="00300DBF"/>
    <w:rsid w:val="00302279"/>
    <w:rsid w:val="00302519"/>
    <w:rsid w:val="003028AE"/>
    <w:rsid w:val="00304F0B"/>
    <w:rsid w:val="00305028"/>
    <w:rsid w:val="00305F90"/>
    <w:rsid w:val="00306577"/>
    <w:rsid w:val="003070EF"/>
    <w:rsid w:val="00307B50"/>
    <w:rsid w:val="00310293"/>
    <w:rsid w:val="00310D7D"/>
    <w:rsid w:val="00310EC9"/>
    <w:rsid w:val="00310FA4"/>
    <w:rsid w:val="00311237"/>
    <w:rsid w:val="00311436"/>
    <w:rsid w:val="00311705"/>
    <w:rsid w:val="00311A7F"/>
    <w:rsid w:val="00312384"/>
    <w:rsid w:val="003144C6"/>
    <w:rsid w:val="00314566"/>
    <w:rsid w:val="0031479F"/>
    <w:rsid w:val="00316F15"/>
    <w:rsid w:val="0031739B"/>
    <w:rsid w:val="00323177"/>
    <w:rsid w:val="003232E7"/>
    <w:rsid w:val="003247DA"/>
    <w:rsid w:val="00324D4A"/>
    <w:rsid w:val="00326B99"/>
    <w:rsid w:val="0032762C"/>
    <w:rsid w:val="00327988"/>
    <w:rsid w:val="003309A7"/>
    <w:rsid w:val="00330F3E"/>
    <w:rsid w:val="00331F93"/>
    <w:rsid w:val="003324FD"/>
    <w:rsid w:val="00332AB5"/>
    <w:rsid w:val="003353A4"/>
    <w:rsid w:val="00335C44"/>
    <w:rsid w:val="00336B41"/>
    <w:rsid w:val="00337E93"/>
    <w:rsid w:val="003400CE"/>
    <w:rsid w:val="0034089A"/>
    <w:rsid w:val="00341031"/>
    <w:rsid w:val="0034183E"/>
    <w:rsid w:val="00342588"/>
    <w:rsid w:val="00342EB6"/>
    <w:rsid w:val="00343428"/>
    <w:rsid w:val="00343467"/>
    <w:rsid w:val="00343691"/>
    <w:rsid w:val="00344099"/>
    <w:rsid w:val="0034455F"/>
    <w:rsid w:val="00345BAB"/>
    <w:rsid w:val="003474D9"/>
    <w:rsid w:val="0034766B"/>
    <w:rsid w:val="00347912"/>
    <w:rsid w:val="00347F42"/>
    <w:rsid w:val="00347FCB"/>
    <w:rsid w:val="0035021D"/>
    <w:rsid w:val="0035023B"/>
    <w:rsid w:val="003506B8"/>
    <w:rsid w:val="003509F5"/>
    <w:rsid w:val="00350AB3"/>
    <w:rsid w:val="00350C3C"/>
    <w:rsid w:val="00351152"/>
    <w:rsid w:val="0035122E"/>
    <w:rsid w:val="00351CC8"/>
    <w:rsid w:val="003524F9"/>
    <w:rsid w:val="00353944"/>
    <w:rsid w:val="00354387"/>
    <w:rsid w:val="00354BF7"/>
    <w:rsid w:val="00354D46"/>
    <w:rsid w:val="003556C6"/>
    <w:rsid w:val="00355AEF"/>
    <w:rsid w:val="00356C3C"/>
    <w:rsid w:val="00357846"/>
    <w:rsid w:val="00360D53"/>
    <w:rsid w:val="003624CA"/>
    <w:rsid w:val="0036273D"/>
    <w:rsid w:val="00362F36"/>
    <w:rsid w:val="00364D43"/>
    <w:rsid w:val="00364D62"/>
    <w:rsid w:val="00365808"/>
    <w:rsid w:val="00365DED"/>
    <w:rsid w:val="00366055"/>
    <w:rsid w:val="0036622E"/>
    <w:rsid w:val="00366A27"/>
    <w:rsid w:val="00367CBF"/>
    <w:rsid w:val="003701C3"/>
    <w:rsid w:val="00372FCC"/>
    <w:rsid w:val="003739F2"/>
    <w:rsid w:val="00376915"/>
    <w:rsid w:val="00376F8B"/>
    <w:rsid w:val="003772DB"/>
    <w:rsid w:val="00377389"/>
    <w:rsid w:val="00380281"/>
    <w:rsid w:val="003802C8"/>
    <w:rsid w:val="00380A92"/>
    <w:rsid w:val="00380ECB"/>
    <w:rsid w:val="00381F70"/>
    <w:rsid w:val="003828B3"/>
    <w:rsid w:val="00387153"/>
    <w:rsid w:val="00387A73"/>
    <w:rsid w:val="00390858"/>
    <w:rsid w:val="00390BAC"/>
    <w:rsid w:val="003925A9"/>
    <w:rsid w:val="00393987"/>
    <w:rsid w:val="003957F5"/>
    <w:rsid w:val="00395D87"/>
    <w:rsid w:val="00396B81"/>
    <w:rsid w:val="00396E9E"/>
    <w:rsid w:val="003971B4"/>
    <w:rsid w:val="003A098E"/>
    <w:rsid w:val="003A0AB7"/>
    <w:rsid w:val="003A0FB8"/>
    <w:rsid w:val="003A1635"/>
    <w:rsid w:val="003A1E93"/>
    <w:rsid w:val="003A2121"/>
    <w:rsid w:val="003A3586"/>
    <w:rsid w:val="003A6FB2"/>
    <w:rsid w:val="003A7C11"/>
    <w:rsid w:val="003B0032"/>
    <w:rsid w:val="003B0DC0"/>
    <w:rsid w:val="003B0E5F"/>
    <w:rsid w:val="003B1472"/>
    <w:rsid w:val="003B2A39"/>
    <w:rsid w:val="003B2BB6"/>
    <w:rsid w:val="003B3F79"/>
    <w:rsid w:val="003B4436"/>
    <w:rsid w:val="003B4B0D"/>
    <w:rsid w:val="003B4DAD"/>
    <w:rsid w:val="003B560B"/>
    <w:rsid w:val="003B58B2"/>
    <w:rsid w:val="003B5D25"/>
    <w:rsid w:val="003B5E0B"/>
    <w:rsid w:val="003B74D9"/>
    <w:rsid w:val="003C06B8"/>
    <w:rsid w:val="003C235C"/>
    <w:rsid w:val="003C292A"/>
    <w:rsid w:val="003C293F"/>
    <w:rsid w:val="003C3609"/>
    <w:rsid w:val="003C4566"/>
    <w:rsid w:val="003C561B"/>
    <w:rsid w:val="003C7491"/>
    <w:rsid w:val="003C7737"/>
    <w:rsid w:val="003C7F06"/>
    <w:rsid w:val="003D1571"/>
    <w:rsid w:val="003D1DA6"/>
    <w:rsid w:val="003D33EF"/>
    <w:rsid w:val="003D3A7F"/>
    <w:rsid w:val="003D4D29"/>
    <w:rsid w:val="003D544A"/>
    <w:rsid w:val="003D55CE"/>
    <w:rsid w:val="003D63AC"/>
    <w:rsid w:val="003D6A5B"/>
    <w:rsid w:val="003D7FAC"/>
    <w:rsid w:val="003E0EE4"/>
    <w:rsid w:val="003E2090"/>
    <w:rsid w:val="003E345F"/>
    <w:rsid w:val="003E3CBC"/>
    <w:rsid w:val="003E4AD0"/>
    <w:rsid w:val="003E5DC4"/>
    <w:rsid w:val="003E621B"/>
    <w:rsid w:val="003E6C93"/>
    <w:rsid w:val="003E6D1B"/>
    <w:rsid w:val="003F0884"/>
    <w:rsid w:val="003F0C4F"/>
    <w:rsid w:val="003F108C"/>
    <w:rsid w:val="003F221F"/>
    <w:rsid w:val="003F28E7"/>
    <w:rsid w:val="003F328E"/>
    <w:rsid w:val="003F3EA8"/>
    <w:rsid w:val="003F3FA8"/>
    <w:rsid w:val="003F4DAD"/>
    <w:rsid w:val="003F536A"/>
    <w:rsid w:val="003F570C"/>
    <w:rsid w:val="003F6462"/>
    <w:rsid w:val="003F6E59"/>
    <w:rsid w:val="003F75AA"/>
    <w:rsid w:val="003F77AA"/>
    <w:rsid w:val="003F7B6F"/>
    <w:rsid w:val="0040395B"/>
    <w:rsid w:val="00403A3D"/>
    <w:rsid w:val="0040445B"/>
    <w:rsid w:val="00404AAF"/>
    <w:rsid w:val="004053B6"/>
    <w:rsid w:val="0040586A"/>
    <w:rsid w:val="0040794D"/>
    <w:rsid w:val="0040797D"/>
    <w:rsid w:val="00410210"/>
    <w:rsid w:val="0041079E"/>
    <w:rsid w:val="00410D89"/>
    <w:rsid w:val="00411AA4"/>
    <w:rsid w:val="00411F04"/>
    <w:rsid w:val="0041364A"/>
    <w:rsid w:val="00414A2A"/>
    <w:rsid w:val="00415114"/>
    <w:rsid w:val="0041529B"/>
    <w:rsid w:val="00415320"/>
    <w:rsid w:val="00415CB1"/>
    <w:rsid w:val="0041689E"/>
    <w:rsid w:val="004202C8"/>
    <w:rsid w:val="004207F0"/>
    <w:rsid w:val="00421173"/>
    <w:rsid w:val="00421D5D"/>
    <w:rsid w:val="00422308"/>
    <w:rsid w:val="00424073"/>
    <w:rsid w:val="0042483F"/>
    <w:rsid w:val="0042693C"/>
    <w:rsid w:val="00427946"/>
    <w:rsid w:val="00427B47"/>
    <w:rsid w:val="00430439"/>
    <w:rsid w:val="0043044A"/>
    <w:rsid w:val="004305EC"/>
    <w:rsid w:val="00430F9B"/>
    <w:rsid w:val="0043175E"/>
    <w:rsid w:val="00432043"/>
    <w:rsid w:val="00432060"/>
    <w:rsid w:val="00432128"/>
    <w:rsid w:val="00432510"/>
    <w:rsid w:val="00433E3B"/>
    <w:rsid w:val="00434866"/>
    <w:rsid w:val="00434882"/>
    <w:rsid w:val="00434D7F"/>
    <w:rsid w:val="00435771"/>
    <w:rsid w:val="00435ED7"/>
    <w:rsid w:val="004361C2"/>
    <w:rsid w:val="00436981"/>
    <w:rsid w:val="0044011D"/>
    <w:rsid w:val="00440678"/>
    <w:rsid w:val="00440931"/>
    <w:rsid w:val="00441F79"/>
    <w:rsid w:val="0044302A"/>
    <w:rsid w:val="00443A20"/>
    <w:rsid w:val="00443B70"/>
    <w:rsid w:val="004441C3"/>
    <w:rsid w:val="004460E0"/>
    <w:rsid w:val="00446F09"/>
    <w:rsid w:val="00451490"/>
    <w:rsid w:val="004514A3"/>
    <w:rsid w:val="004514EA"/>
    <w:rsid w:val="00451941"/>
    <w:rsid w:val="00451C9C"/>
    <w:rsid w:val="004526A9"/>
    <w:rsid w:val="00452703"/>
    <w:rsid w:val="00452A0F"/>
    <w:rsid w:val="0045304A"/>
    <w:rsid w:val="004532DF"/>
    <w:rsid w:val="0045403F"/>
    <w:rsid w:val="004542CB"/>
    <w:rsid w:val="00454A46"/>
    <w:rsid w:val="00454E38"/>
    <w:rsid w:val="0045503D"/>
    <w:rsid w:val="0045540B"/>
    <w:rsid w:val="00456DC8"/>
    <w:rsid w:val="004579B9"/>
    <w:rsid w:val="00457F0F"/>
    <w:rsid w:val="00460365"/>
    <w:rsid w:val="0046138A"/>
    <w:rsid w:val="00461941"/>
    <w:rsid w:val="00461FF6"/>
    <w:rsid w:val="00462062"/>
    <w:rsid w:val="00462C7E"/>
    <w:rsid w:val="00463E50"/>
    <w:rsid w:val="00464187"/>
    <w:rsid w:val="0046463E"/>
    <w:rsid w:val="00466CBC"/>
    <w:rsid w:val="004674C9"/>
    <w:rsid w:val="00470216"/>
    <w:rsid w:val="004710E2"/>
    <w:rsid w:val="0047123B"/>
    <w:rsid w:val="00471DDC"/>
    <w:rsid w:val="004721FA"/>
    <w:rsid w:val="00472754"/>
    <w:rsid w:val="004730FB"/>
    <w:rsid w:val="00473841"/>
    <w:rsid w:val="00474156"/>
    <w:rsid w:val="0047634B"/>
    <w:rsid w:val="00477025"/>
    <w:rsid w:val="004778A8"/>
    <w:rsid w:val="00482557"/>
    <w:rsid w:val="004825AA"/>
    <w:rsid w:val="004835A3"/>
    <w:rsid w:val="00483BB9"/>
    <w:rsid w:val="00484926"/>
    <w:rsid w:val="00485D4D"/>
    <w:rsid w:val="004863D3"/>
    <w:rsid w:val="0048776B"/>
    <w:rsid w:val="00487A5B"/>
    <w:rsid w:val="00491157"/>
    <w:rsid w:val="00491499"/>
    <w:rsid w:val="00491762"/>
    <w:rsid w:val="00492BC1"/>
    <w:rsid w:val="00492F95"/>
    <w:rsid w:val="00493F3A"/>
    <w:rsid w:val="00494777"/>
    <w:rsid w:val="0049498F"/>
    <w:rsid w:val="004960F5"/>
    <w:rsid w:val="00497497"/>
    <w:rsid w:val="004A155E"/>
    <w:rsid w:val="004A255D"/>
    <w:rsid w:val="004A2F38"/>
    <w:rsid w:val="004A4EF1"/>
    <w:rsid w:val="004A5338"/>
    <w:rsid w:val="004A53BD"/>
    <w:rsid w:val="004A6E10"/>
    <w:rsid w:val="004A7FF3"/>
    <w:rsid w:val="004B0297"/>
    <w:rsid w:val="004B03AA"/>
    <w:rsid w:val="004B27E2"/>
    <w:rsid w:val="004B28DA"/>
    <w:rsid w:val="004B2969"/>
    <w:rsid w:val="004B2F55"/>
    <w:rsid w:val="004B2F79"/>
    <w:rsid w:val="004B3871"/>
    <w:rsid w:val="004B4B68"/>
    <w:rsid w:val="004B4BFC"/>
    <w:rsid w:val="004B54B5"/>
    <w:rsid w:val="004B6A3B"/>
    <w:rsid w:val="004B7591"/>
    <w:rsid w:val="004B7792"/>
    <w:rsid w:val="004B7921"/>
    <w:rsid w:val="004C16FD"/>
    <w:rsid w:val="004C374B"/>
    <w:rsid w:val="004C5219"/>
    <w:rsid w:val="004C5CBB"/>
    <w:rsid w:val="004C61A5"/>
    <w:rsid w:val="004C70A6"/>
    <w:rsid w:val="004D0543"/>
    <w:rsid w:val="004D0DCE"/>
    <w:rsid w:val="004D223C"/>
    <w:rsid w:val="004D2605"/>
    <w:rsid w:val="004D2EA7"/>
    <w:rsid w:val="004D48A3"/>
    <w:rsid w:val="004D543F"/>
    <w:rsid w:val="004D5BB3"/>
    <w:rsid w:val="004D5ECA"/>
    <w:rsid w:val="004D6371"/>
    <w:rsid w:val="004D69C6"/>
    <w:rsid w:val="004D70CA"/>
    <w:rsid w:val="004D77AD"/>
    <w:rsid w:val="004D7ADC"/>
    <w:rsid w:val="004E0DAA"/>
    <w:rsid w:val="004E12BB"/>
    <w:rsid w:val="004E1AC3"/>
    <w:rsid w:val="004E22A1"/>
    <w:rsid w:val="004E28C3"/>
    <w:rsid w:val="004E290B"/>
    <w:rsid w:val="004E2EFF"/>
    <w:rsid w:val="004E31E7"/>
    <w:rsid w:val="004E3C96"/>
    <w:rsid w:val="004E4349"/>
    <w:rsid w:val="004E6E4B"/>
    <w:rsid w:val="004E7749"/>
    <w:rsid w:val="004F0014"/>
    <w:rsid w:val="004F123A"/>
    <w:rsid w:val="004F171E"/>
    <w:rsid w:val="004F184F"/>
    <w:rsid w:val="004F1A28"/>
    <w:rsid w:val="004F25C8"/>
    <w:rsid w:val="004F37CB"/>
    <w:rsid w:val="004F3974"/>
    <w:rsid w:val="004F5B5F"/>
    <w:rsid w:val="004F5C40"/>
    <w:rsid w:val="004F5E7E"/>
    <w:rsid w:val="004F6AF0"/>
    <w:rsid w:val="004F7800"/>
    <w:rsid w:val="004F785A"/>
    <w:rsid w:val="004F7EBE"/>
    <w:rsid w:val="00500C14"/>
    <w:rsid w:val="0050163E"/>
    <w:rsid w:val="00501697"/>
    <w:rsid w:val="0050203D"/>
    <w:rsid w:val="005029BC"/>
    <w:rsid w:val="00502C2B"/>
    <w:rsid w:val="0050402A"/>
    <w:rsid w:val="005048F7"/>
    <w:rsid w:val="0050524D"/>
    <w:rsid w:val="005058EE"/>
    <w:rsid w:val="005061C8"/>
    <w:rsid w:val="0050683D"/>
    <w:rsid w:val="00506A52"/>
    <w:rsid w:val="005077BD"/>
    <w:rsid w:val="00507A9E"/>
    <w:rsid w:val="00510FD7"/>
    <w:rsid w:val="00511523"/>
    <w:rsid w:val="00512296"/>
    <w:rsid w:val="005126BC"/>
    <w:rsid w:val="00512E3D"/>
    <w:rsid w:val="005130C3"/>
    <w:rsid w:val="005135DC"/>
    <w:rsid w:val="00513CB5"/>
    <w:rsid w:val="00513FB0"/>
    <w:rsid w:val="00514A66"/>
    <w:rsid w:val="00517124"/>
    <w:rsid w:val="005171EE"/>
    <w:rsid w:val="005173CF"/>
    <w:rsid w:val="0051760C"/>
    <w:rsid w:val="00517DF1"/>
    <w:rsid w:val="00520982"/>
    <w:rsid w:val="00520A5F"/>
    <w:rsid w:val="00521FB4"/>
    <w:rsid w:val="005226F7"/>
    <w:rsid w:val="00525D63"/>
    <w:rsid w:val="0052602D"/>
    <w:rsid w:val="005260E6"/>
    <w:rsid w:val="00526916"/>
    <w:rsid w:val="005269B8"/>
    <w:rsid w:val="00527361"/>
    <w:rsid w:val="00530277"/>
    <w:rsid w:val="00531BC3"/>
    <w:rsid w:val="0053264A"/>
    <w:rsid w:val="00532C0E"/>
    <w:rsid w:val="00533B84"/>
    <w:rsid w:val="00534918"/>
    <w:rsid w:val="00534C93"/>
    <w:rsid w:val="00537FCD"/>
    <w:rsid w:val="0054156E"/>
    <w:rsid w:val="005417FB"/>
    <w:rsid w:val="00541B38"/>
    <w:rsid w:val="00541DA1"/>
    <w:rsid w:val="00543C86"/>
    <w:rsid w:val="00544249"/>
    <w:rsid w:val="005452E5"/>
    <w:rsid w:val="005457AC"/>
    <w:rsid w:val="00545B0B"/>
    <w:rsid w:val="00546806"/>
    <w:rsid w:val="00547A7E"/>
    <w:rsid w:val="00547E4F"/>
    <w:rsid w:val="005501D2"/>
    <w:rsid w:val="005505F2"/>
    <w:rsid w:val="00551EBD"/>
    <w:rsid w:val="00552538"/>
    <w:rsid w:val="005534C2"/>
    <w:rsid w:val="00553729"/>
    <w:rsid w:val="00553832"/>
    <w:rsid w:val="005554CC"/>
    <w:rsid w:val="0055556D"/>
    <w:rsid w:val="00555E1D"/>
    <w:rsid w:val="00555EBF"/>
    <w:rsid w:val="00556917"/>
    <w:rsid w:val="005570FF"/>
    <w:rsid w:val="00557739"/>
    <w:rsid w:val="005579E5"/>
    <w:rsid w:val="00557C9D"/>
    <w:rsid w:val="00557D6B"/>
    <w:rsid w:val="005601F0"/>
    <w:rsid w:val="00560685"/>
    <w:rsid w:val="00560A76"/>
    <w:rsid w:val="0056163C"/>
    <w:rsid w:val="00561A02"/>
    <w:rsid w:val="00561C0C"/>
    <w:rsid w:val="00562207"/>
    <w:rsid w:val="00563ADE"/>
    <w:rsid w:val="00564778"/>
    <w:rsid w:val="0056481D"/>
    <w:rsid w:val="00564F6E"/>
    <w:rsid w:val="00565830"/>
    <w:rsid w:val="00565AE0"/>
    <w:rsid w:val="00565D45"/>
    <w:rsid w:val="00567298"/>
    <w:rsid w:val="005677BC"/>
    <w:rsid w:val="005700A0"/>
    <w:rsid w:val="00570994"/>
    <w:rsid w:val="00571DCE"/>
    <w:rsid w:val="005727CE"/>
    <w:rsid w:val="00572A0C"/>
    <w:rsid w:val="005743F4"/>
    <w:rsid w:val="00574968"/>
    <w:rsid w:val="00574D34"/>
    <w:rsid w:val="005752F4"/>
    <w:rsid w:val="00575903"/>
    <w:rsid w:val="00575DBF"/>
    <w:rsid w:val="005778A2"/>
    <w:rsid w:val="005778F8"/>
    <w:rsid w:val="00582393"/>
    <w:rsid w:val="00582610"/>
    <w:rsid w:val="00582F34"/>
    <w:rsid w:val="005831A4"/>
    <w:rsid w:val="005838C9"/>
    <w:rsid w:val="00583D57"/>
    <w:rsid w:val="00584C08"/>
    <w:rsid w:val="00585203"/>
    <w:rsid w:val="005852C9"/>
    <w:rsid w:val="0058574A"/>
    <w:rsid w:val="00585E43"/>
    <w:rsid w:val="00586B01"/>
    <w:rsid w:val="0058717F"/>
    <w:rsid w:val="00587784"/>
    <w:rsid w:val="005903D7"/>
    <w:rsid w:val="00591048"/>
    <w:rsid w:val="00591568"/>
    <w:rsid w:val="00591752"/>
    <w:rsid w:val="00591973"/>
    <w:rsid w:val="00591ED6"/>
    <w:rsid w:val="005922C5"/>
    <w:rsid w:val="00592671"/>
    <w:rsid w:val="00592A3C"/>
    <w:rsid w:val="00595BB9"/>
    <w:rsid w:val="00596A1D"/>
    <w:rsid w:val="005A041F"/>
    <w:rsid w:val="005A16B2"/>
    <w:rsid w:val="005A1935"/>
    <w:rsid w:val="005A2CD1"/>
    <w:rsid w:val="005A3F30"/>
    <w:rsid w:val="005A46F2"/>
    <w:rsid w:val="005A4EA9"/>
    <w:rsid w:val="005A4EB8"/>
    <w:rsid w:val="005A62F3"/>
    <w:rsid w:val="005A7447"/>
    <w:rsid w:val="005A7585"/>
    <w:rsid w:val="005A7F96"/>
    <w:rsid w:val="005B0201"/>
    <w:rsid w:val="005B0555"/>
    <w:rsid w:val="005B1879"/>
    <w:rsid w:val="005B1F7E"/>
    <w:rsid w:val="005B255A"/>
    <w:rsid w:val="005B3767"/>
    <w:rsid w:val="005B441A"/>
    <w:rsid w:val="005B5083"/>
    <w:rsid w:val="005B515B"/>
    <w:rsid w:val="005B613F"/>
    <w:rsid w:val="005B7216"/>
    <w:rsid w:val="005B77B4"/>
    <w:rsid w:val="005C022F"/>
    <w:rsid w:val="005C16FD"/>
    <w:rsid w:val="005C1BB3"/>
    <w:rsid w:val="005C479F"/>
    <w:rsid w:val="005C507F"/>
    <w:rsid w:val="005C655A"/>
    <w:rsid w:val="005C67B4"/>
    <w:rsid w:val="005C6DD8"/>
    <w:rsid w:val="005C73A0"/>
    <w:rsid w:val="005C73DD"/>
    <w:rsid w:val="005D0147"/>
    <w:rsid w:val="005D02D8"/>
    <w:rsid w:val="005D0DAD"/>
    <w:rsid w:val="005D1307"/>
    <w:rsid w:val="005D1963"/>
    <w:rsid w:val="005D1EC7"/>
    <w:rsid w:val="005D4188"/>
    <w:rsid w:val="005D471E"/>
    <w:rsid w:val="005D523A"/>
    <w:rsid w:val="005D685D"/>
    <w:rsid w:val="005D6AD9"/>
    <w:rsid w:val="005D6F83"/>
    <w:rsid w:val="005D7D04"/>
    <w:rsid w:val="005D7E88"/>
    <w:rsid w:val="005E0263"/>
    <w:rsid w:val="005E132F"/>
    <w:rsid w:val="005E18B1"/>
    <w:rsid w:val="005E2350"/>
    <w:rsid w:val="005E2450"/>
    <w:rsid w:val="005E39FC"/>
    <w:rsid w:val="005E47E3"/>
    <w:rsid w:val="005E48BD"/>
    <w:rsid w:val="005E6148"/>
    <w:rsid w:val="005E66CC"/>
    <w:rsid w:val="005E6B51"/>
    <w:rsid w:val="005E7297"/>
    <w:rsid w:val="005E7414"/>
    <w:rsid w:val="005F077E"/>
    <w:rsid w:val="005F141D"/>
    <w:rsid w:val="005F1421"/>
    <w:rsid w:val="005F15DD"/>
    <w:rsid w:val="005F2A71"/>
    <w:rsid w:val="005F4674"/>
    <w:rsid w:val="005F5BF9"/>
    <w:rsid w:val="005F70F0"/>
    <w:rsid w:val="005F768A"/>
    <w:rsid w:val="0060011D"/>
    <w:rsid w:val="006012DA"/>
    <w:rsid w:val="00601BE7"/>
    <w:rsid w:val="00602556"/>
    <w:rsid w:val="00603DEB"/>
    <w:rsid w:val="0060453D"/>
    <w:rsid w:val="00604CDB"/>
    <w:rsid w:val="0060520D"/>
    <w:rsid w:val="006053B0"/>
    <w:rsid w:val="0060669E"/>
    <w:rsid w:val="006068C8"/>
    <w:rsid w:val="00606D5B"/>
    <w:rsid w:val="00607A27"/>
    <w:rsid w:val="006112F9"/>
    <w:rsid w:val="00611B3A"/>
    <w:rsid w:val="00612047"/>
    <w:rsid w:val="00612323"/>
    <w:rsid w:val="0061250B"/>
    <w:rsid w:val="0061262E"/>
    <w:rsid w:val="00613621"/>
    <w:rsid w:val="00613751"/>
    <w:rsid w:val="00614390"/>
    <w:rsid w:val="0061522F"/>
    <w:rsid w:val="0061550C"/>
    <w:rsid w:val="0061568C"/>
    <w:rsid w:val="0061569D"/>
    <w:rsid w:val="00615EAC"/>
    <w:rsid w:val="00616B41"/>
    <w:rsid w:val="0062100B"/>
    <w:rsid w:val="00621242"/>
    <w:rsid w:val="0062190F"/>
    <w:rsid w:val="00621D20"/>
    <w:rsid w:val="00624542"/>
    <w:rsid w:val="0062496B"/>
    <w:rsid w:val="00625245"/>
    <w:rsid w:val="00625A17"/>
    <w:rsid w:val="00625B90"/>
    <w:rsid w:val="00625C7E"/>
    <w:rsid w:val="0062602A"/>
    <w:rsid w:val="00626537"/>
    <w:rsid w:val="0062767B"/>
    <w:rsid w:val="00627975"/>
    <w:rsid w:val="006306F4"/>
    <w:rsid w:val="0063070C"/>
    <w:rsid w:val="00630CE1"/>
    <w:rsid w:val="00631033"/>
    <w:rsid w:val="00631E41"/>
    <w:rsid w:val="006331B6"/>
    <w:rsid w:val="00634204"/>
    <w:rsid w:val="006348C1"/>
    <w:rsid w:val="00635168"/>
    <w:rsid w:val="00635B9D"/>
    <w:rsid w:val="00636397"/>
    <w:rsid w:val="00636EC6"/>
    <w:rsid w:val="0063762A"/>
    <w:rsid w:val="00637DB8"/>
    <w:rsid w:val="006413BE"/>
    <w:rsid w:val="00642BCD"/>
    <w:rsid w:val="006433A1"/>
    <w:rsid w:val="006441B7"/>
    <w:rsid w:val="006446F1"/>
    <w:rsid w:val="0064488E"/>
    <w:rsid w:val="00645108"/>
    <w:rsid w:val="006458BA"/>
    <w:rsid w:val="00645A6B"/>
    <w:rsid w:val="006460BF"/>
    <w:rsid w:val="00647A15"/>
    <w:rsid w:val="00647F3E"/>
    <w:rsid w:val="00650218"/>
    <w:rsid w:val="0065075E"/>
    <w:rsid w:val="0065175A"/>
    <w:rsid w:val="0065197F"/>
    <w:rsid w:val="0065307D"/>
    <w:rsid w:val="0065329D"/>
    <w:rsid w:val="0065338F"/>
    <w:rsid w:val="00653A0F"/>
    <w:rsid w:val="00653A60"/>
    <w:rsid w:val="0065668D"/>
    <w:rsid w:val="0065794F"/>
    <w:rsid w:val="00657E4D"/>
    <w:rsid w:val="0066000F"/>
    <w:rsid w:val="00661A7B"/>
    <w:rsid w:val="00661E56"/>
    <w:rsid w:val="00662C6D"/>
    <w:rsid w:val="00662E6E"/>
    <w:rsid w:val="0066303C"/>
    <w:rsid w:val="00663159"/>
    <w:rsid w:val="00663B73"/>
    <w:rsid w:val="00663C00"/>
    <w:rsid w:val="0066597F"/>
    <w:rsid w:val="00666018"/>
    <w:rsid w:val="00670FBD"/>
    <w:rsid w:val="006710E7"/>
    <w:rsid w:val="00671930"/>
    <w:rsid w:val="006722A8"/>
    <w:rsid w:val="006731EA"/>
    <w:rsid w:val="006739A2"/>
    <w:rsid w:val="00674FBB"/>
    <w:rsid w:val="006751D4"/>
    <w:rsid w:val="006759C2"/>
    <w:rsid w:val="00675C42"/>
    <w:rsid w:val="006772FC"/>
    <w:rsid w:val="006778BE"/>
    <w:rsid w:val="0068016F"/>
    <w:rsid w:val="00680887"/>
    <w:rsid w:val="00680C09"/>
    <w:rsid w:val="00680FC9"/>
    <w:rsid w:val="00682C30"/>
    <w:rsid w:val="00683380"/>
    <w:rsid w:val="006833EF"/>
    <w:rsid w:val="0068352E"/>
    <w:rsid w:val="006835D0"/>
    <w:rsid w:val="006839EF"/>
    <w:rsid w:val="006840D6"/>
    <w:rsid w:val="0068434D"/>
    <w:rsid w:val="00684734"/>
    <w:rsid w:val="0068520F"/>
    <w:rsid w:val="0068550F"/>
    <w:rsid w:val="006859AC"/>
    <w:rsid w:val="00686EF3"/>
    <w:rsid w:val="0069000B"/>
    <w:rsid w:val="00690269"/>
    <w:rsid w:val="00691295"/>
    <w:rsid w:val="006918A9"/>
    <w:rsid w:val="00691C25"/>
    <w:rsid w:val="00691FF7"/>
    <w:rsid w:val="00693119"/>
    <w:rsid w:val="0069313A"/>
    <w:rsid w:val="006935D4"/>
    <w:rsid w:val="00693A38"/>
    <w:rsid w:val="00694BC8"/>
    <w:rsid w:val="00694F0B"/>
    <w:rsid w:val="00694F6F"/>
    <w:rsid w:val="006952C2"/>
    <w:rsid w:val="006957BD"/>
    <w:rsid w:val="00695CBA"/>
    <w:rsid w:val="00697CA8"/>
    <w:rsid w:val="006A0EE5"/>
    <w:rsid w:val="006A1C23"/>
    <w:rsid w:val="006A475A"/>
    <w:rsid w:val="006A6E07"/>
    <w:rsid w:val="006B0BEB"/>
    <w:rsid w:val="006B19A4"/>
    <w:rsid w:val="006B1E9B"/>
    <w:rsid w:val="006B1F85"/>
    <w:rsid w:val="006B24D1"/>
    <w:rsid w:val="006B3920"/>
    <w:rsid w:val="006B3C74"/>
    <w:rsid w:val="006B4042"/>
    <w:rsid w:val="006B4D64"/>
    <w:rsid w:val="006B4F1A"/>
    <w:rsid w:val="006B558C"/>
    <w:rsid w:val="006B6381"/>
    <w:rsid w:val="006B672D"/>
    <w:rsid w:val="006B723B"/>
    <w:rsid w:val="006B74BD"/>
    <w:rsid w:val="006C0AAD"/>
    <w:rsid w:val="006C125C"/>
    <w:rsid w:val="006C14B0"/>
    <w:rsid w:val="006C1694"/>
    <w:rsid w:val="006C19B2"/>
    <w:rsid w:val="006C1C19"/>
    <w:rsid w:val="006C2556"/>
    <w:rsid w:val="006C3990"/>
    <w:rsid w:val="006C3D6B"/>
    <w:rsid w:val="006C3E18"/>
    <w:rsid w:val="006C4390"/>
    <w:rsid w:val="006C48C4"/>
    <w:rsid w:val="006C4DED"/>
    <w:rsid w:val="006C5BEA"/>
    <w:rsid w:val="006C6716"/>
    <w:rsid w:val="006C6850"/>
    <w:rsid w:val="006C6F4F"/>
    <w:rsid w:val="006D086D"/>
    <w:rsid w:val="006D1ABF"/>
    <w:rsid w:val="006D29B7"/>
    <w:rsid w:val="006D335E"/>
    <w:rsid w:val="006D4134"/>
    <w:rsid w:val="006D4B75"/>
    <w:rsid w:val="006D50BE"/>
    <w:rsid w:val="006D6720"/>
    <w:rsid w:val="006D7381"/>
    <w:rsid w:val="006E03F7"/>
    <w:rsid w:val="006E2558"/>
    <w:rsid w:val="006E265E"/>
    <w:rsid w:val="006E4629"/>
    <w:rsid w:val="006E48FA"/>
    <w:rsid w:val="006E4BEF"/>
    <w:rsid w:val="006E5019"/>
    <w:rsid w:val="006E56C8"/>
    <w:rsid w:val="006E57D9"/>
    <w:rsid w:val="006E5B23"/>
    <w:rsid w:val="006E6232"/>
    <w:rsid w:val="006E66DF"/>
    <w:rsid w:val="006E6961"/>
    <w:rsid w:val="006E7605"/>
    <w:rsid w:val="006E7D10"/>
    <w:rsid w:val="006F0401"/>
    <w:rsid w:val="006F122A"/>
    <w:rsid w:val="006F1DDB"/>
    <w:rsid w:val="006F205A"/>
    <w:rsid w:val="006F2B4E"/>
    <w:rsid w:val="006F35A8"/>
    <w:rsid w:val="006F39AD"/>
    <w:rsid w:val="006F3F93"/>
    <w:rsid w:val="006F41A1"/>
    <w:rsid w:val="006F59C8"/>
    <w:rsid w:val="006F6325"/>
    <w:rsid w:val="006F6714"/>
    <w:rsid w:val="006F6DCC"/>
    <w:rsid w:val="00700114"/>
    <w:rsid w:val="00700871"/>
    <w:rsid w:val="00702052"/>
    <w:rsid w:val="00702501"/>
    <w:rsid w:val="0070306C"/>
    <w:rsid w:val="0070368B"/>
    <w:rsid w:val="0070395C"/>
    <w:rsid w:val="00703A2C"/>
    <w:rsid w:val="007041F9"/>
    <w:rsid w:val="0070434D"/>
    <w:rsid w:val="007045F9"/>
    <w:rsid w:val="007050AB"/>
    <w:rsid w:val="00705C52"/>
    <w:rsid w:val="00705F7F"/>
    <w:rsid w:val="007062A1"/>
    <w:rsid w:val="007063A3"/>
    <w:rsid w:val="00706868"/>
    <w:rsid w:val="007079FD"/>
    <w:rsid w:val="0071086F"/>
    <w:rsid w:val="0071098F"/>
    <w:rsid w:val="00710F37"/>
    <w:rsid w:val="00712081"/>
    <w:rsid w:val="00712405"/>
    <w:rsid w:val="00713713"/>
    <w:rsid w:val="00713941"/>
    <w:rsid w:val="007143FB"/>
    <w:rsid w:val="00716092"/>
    <w:rsid w:val="0071614D"/>
    <w:rsid w:val="00720292"/>
    <w:rsid w:val="00720399"/>
    <w:rsid w:val="0072233E"/>
    <w:rsid w:val="0072274C"/>
    <w:rsid w:val="00722F46"/>
    <w:rsid w:val="00722FD2"/>
    <w:rsid w:val="0072502F"/>
    <w:rsid w:val="00730914"/>
    <w:rsid w:val="00730E68"/>
    <w:rsid w:val="0073155F"/>
    <w:rsid w:val="00731ABE"/>
    <w:rsid w:val="007325B4"/>
    <w:rsid w:val="00732B59"/>
    <w:rsid w:val="00733D0B"/>
    <w:rsid w:val="00733F1F"/>
    <w:rsid w:val="007346D8"/>
    <w:rsid w:val="0073643D"/>
    <w:rsid w:val="007370B6"/>
    <w:rsid w:val="00740BC1"/>
    <w:rsid w:val="00741C61"/>
    <w:rsid w:val="00743126"/>
    <w:rsid w:val="007434F8"/>
    <w:rsid w:val="00744869"/>
    <w:rsid w:val="00745D18"/>
    <w:rsid w:val="00746814"/>
    <w:rsid w:val="00746E20"/>
    <w:rsid w:val="0074709E"/>
    <w:rsid w:val="00747443"/>
    <w:rsid w:val="007477A3"/>
    <w:rsid w:val="0074789B"/>
    <w:rsid w:val="007504A9"/>
    <w:rsid w:val="00750C47"/>
    <w:rsid w:val="00752882"/>
    <w:rsid w:val="00752E32"/>
    <w:rsid w:val="0075345E"/>
    <w:rsid w:val="00753B8C"/>
    <w:rsid w:val="00753C3E"/>
    <w:rsid w:val="00754BFE"/>
    <w:rsid w:val="007551BC"/>
    <w:rsid w:val="00755313"/>
    <w:rsid w:val="00755E9F"/>
    <w:rsid w:val="00757141"/>
    <w:rsid w:val="00757EA8"/>
    <w:rsid w:val="007602EC"/>
    <w:rsid w:val="007633C2"/>
    <w:rsid w:val="00763880"/>
    <w:rsid w:val="007649F8"/>
    <w:rsid w:val="00764E32"/>
    <w:rsid w:val="00764EFA"/>
    <w:rsid w:val="00765454"/>
    <w:rsid w:val="007654FB"/>
    <w:rsid w:val="007706ED"/>
    <w:rsid w:val="00770A71"/>
    <w:rsid w:val="00773D77"/>
    <w:rsid w:val="00774A8E"/>
    <w:rsid w:val="00774DF0"/>
    <w:rsid w:val="00774F03"/>
    <w:rsid w:val="00775DB2"/>
    <w:rsid w:val="0077608B"/>
    <w:rsid w:val="007766CC"/>
    <w:rsid w:val="007768FF"/>
    <w:rsid w:val="00777365"/>
    <w:rsid w:val="00777405"/>
    <w:rsid w:val="00777527"/>
    <w:rsid w:val="007775C2"/>
    <w:rsid w:val="00777E81"/>
    <w:rsid w:val="007807EF"/>
    <w:rsid w:val="00781B06"/>
    <w:rsid w:val="0078307C"/>
    <w:rsid w:val="0078455B"/>
    <w:rsid w:val="00785268"/>
    <w:rsid w:val="0078551D"/>
    <w:rsid w:val="007863CA"/>
    <w:rsid w:val="00786C8D"/>
    <w:rsid w:val="00787B45"/>
    <w:rsid w:val="00787E38"/>
    <w:rsid w:val="00790A16"/>
    <w:rsid w:val="00790D3E"/>
    <w:rsid w:val="00790D82"/>
    <w:rsid w:val="00792AA4"/>
    <w:rsid w:val="00793349"/>
    <w:rsid w:val="00794121"/>
    <w:rsid w:val="0079502A"/>
    <w:rsid w:val="0079514C"/>
    <w:rsid w:val="007958B1"/>
    <w:rsid w:val="00795ADC"/>
    <w:rsid w:val="00795F67"/>
    <w:rsid w:val="00795FE9"/>
    <w:rsid w:val="00796C05"/>
    <w:rsid w:val="00797AD9"/>
    <w:rsid w:val="00797FAF"/>
    <w:rsid w:val="007A01BF"/>
    <w:rsid w:val="007A0797"/>
    <w:rsid w:val="007A07E4"/>
    <w:rsid w:val="007A2B3A"/>
    <w:rsid w:val="007A2BE0"/>
    <w:rsid w:val="007A2F04"/>
    <w:rsid w:val="007A3BA0"/>
    <w:rsid w:val="007A5843"/>
    <w:rsid w:val="007A6053"/>
    <w:rsid w:val="007A67EA"/>
    <w:rsid w:val="007A754C"/>
    <w:rsid w:val="007A7BD8"/>
    <w:rsid w:val="007B0752"/>
    <w:rsid w:val="007B1445"/>
    <w:rsid w:val="007B18A7"/>
    <w:rsid w:val="007B2217"/>
    <w:rsid w:val="007B23EE"/>
    <w:rsid w:val="007B2616"/>
    <w:rsid w:val="007B288E"/>
    <w:rsid w:val="007B2F3C"/>
    <w:rsid w:val="007B3A13"/>
    <w:rsid w:val="007B405C"/>
    <w:rsid w:val="007B4174"/>
    <w:rsid w:val="007B431E"/>
    <w:rsid w:val="007B46B7"/>
    <w:rsid w:val="007B4771"/>
    <w:rsid w:val="007B47D1"/>
    <w:rsid w:val="007B5253"/>
    <w:rsid w:val="007B6EAE"/>
    <w:rsid w:val="007B743C"/>
    <w:rsid w:val="007B7A3A"/>
    <w:rsid w:val="007C0283"/>
    <w:rsid w:val="007C180A"/>
    <w:rsid w:val="007C273D"/>
    <w:rsid w:val="007C29C8"/>
    <w:rsid w:val="007C2B33"/>
    <w:rsid w:val="007C3636"/>
    <w:rsid w:val="007C4DA9"/>
    <w:rsid w:val="007C5E21"/>
    <w:rsid w:val="007C5EFC"/>
    <w:rsid w:val="007C66D6"/>
    <w:rsid w:val="007C66E7"/>
    <w:rsid w:val="007C6C7E"/>
    <w:rsid w:val="007C6F5C"/>
    <w:rsid w:val="007C7ED8"/>
    <w:rsid w:val="007D0563"/>
    <w:rsid w:val="007D0CED"/>
    <w:rsid w:val="007D12D0"/>
    <w:rsid w:val="007D20E0"/>
    <w:rsid w:val="007D36F7"/>
    <w:rsid w:val="007D3832"/>
    <w:rsid w:val="007D3F3B"/>
    <w:rsid w:val="007D4779"/>
    <w:rsid w:val="007D53EF"/>
    <w:rsid w:val="007D55E1"/>
    <w:rsid w:val="007D591A"/>
    <w:rsid w:val="007D6757"/>
    <w:rsid w:val="007D6CE7"/>
    <w:rsid w:val="007E130E"/>
    <w:rsid w:val="007E1A1F"/>
    <w:rsid w:val="007E212D"/>
    <w:rsid w:val="007E25B0"/>
    <w:rsid w:val="007E2E20"/>
    <w:rsid w:val="007E3EE6"/>
    <w:rsid w:val="007E4A8B"/>
    <w:rsid w:val="007E4E86"/>
    <w:rsid w:val="007E5951"/>
    <w:rsid w:val="007E68A6"/>
    <w:rsid w:val="007E6DE9"/>
    <w:rsid w:val="007E7B67"/>
    <w:rsid w:val="007F032A"/>
    <w:rsid w:val="007F05F4"/>
    <w:rsid w:val="007F0F01"/>
    <w:rsid w:val="007F2255"/>
    <w:rsid w:val="007F2912"/>
    <w:rsid w:val="007F3651"/>
    <w:rsid w:val="007F563B"/>
    <w:rsid w:val="007F56D0"/>
    <w:rsid w:val="007F5714"/>
    <w:rsid w:val="007F6327"/>
    <w:rsid w:val="007F656B"/>
    <w:rsid w:val="007F6BA5"/>
    <w:rsid w:val="007F7A2C"/>
    <w:rsid w:val="00800533"/>
    <w:rsid w:val="00800C1D"/>
    <w:rsid w:val="0080102D"/>
    <w:rsid w:val="00801A44"/>
    <w:rsid w:val="00801A62"/>
    <w:rsid w:val="00801E1A"/>
    <w:rsid w:val="00803569"/>
    <w:rsid w:val="008035D9"/>
    <w:rsid w:val="00803806"/>
    <w:rsid w:val="00803971"/>
    <w:rsid w:val="008047CE"/>
    <w:rsid w:val="008052DA"/>
    <w:rsid w:val="00805355"/>
    <w:rsid w:val="00806139"/>
    <w:rsid w:val="008069D7"/>
    <w:rsid w:val="00807A18"/>
    <w:rsid w:val="008103C5"/>
    <w:rsid w:val="00810754"/>
    <w:rsid w:val="00810EAE"/>
    <w:rsid w:val="00811347"/>
    <w:rsid w:val="00813181"/>
    <w:rsid w:val="0081341F"/>
    <w:rsid w:val="00814CFA"/>
    <w:rsid w:val="00816634"/>
    <w:rsid w:val="00816ACC"/>
    <w:rsid w:val="00817298"/>
    <w:rsid w:val="00820C04"/>
    <w:rsid w:val="00821903"/>
    <w:rsid w:val="00821FB8"/>
    <w:rsid w:val="00822358"/>
    <w:rsid w:val="008230BC"/>
    <w:rsid w:val="00824539"/>
    <w:rsid w:val="00824782"/>
    <w:rsid w:val="00825A58"/>
    <w:rsid w:val="00825B3F"/>
    <w:rsid w:val="00825D1C"/>
    <w:rsid w:val="00826271"/>
    <w:rsid w:val="0082685F"/>
    <w:rsid w:val="008275DE"/>
    <w:rsid w:val="00830637"/>
    <w:rsid w:val="00830F97"/>
    <w:rsid w:val="008310C0"/>
    <w:rsid w:val="00831ACA"/>
    <w:rsid w:val="00832098"/>
    <w:rsid w:val="00832396"/>
    <w:rsid w:val="0083265D"/>
    <w:rsid w:val="00835787"/>
    <w:rsid w:val="0083624D"/>
    <w:rsid w:val="00837F77"/>
    <w:rsid w:val="00840331"/>
    <w:rsid w:val="00840E94"/>
    <w:rsid w:val="00841550"/>
    <w:rsid w:val="008416C6"/>
    <w:rsid w:val="008428ED"/>
    <w:rsid w:val="008429A7"/>
    <w:rsid w:val="00842D5B"/>
    <w:rsid w:val="00842D8B"/>
    <w:rsid w:val="00842EF5"/>
    <w:rsid w:val="0084599C"/>
    <w:rsid w:val="00846FF6"/>
    <w:rsid w:val="00847EDC"/>
    <w:rsid w:val="00850774"/>
    <w:rsid w:val="00851B30"/>
    <w:rsid w:val="0085225E"/>
    <w:rsid w:val="00852D92"/>
    <w:rsid w:val="00854487"/>
    <w:rsid w:val="00856931"/>
    <w:rsid w:val="00857291"/>
    <w:rsid w:val="00857639"/>
    <w:rsid w:val="008617BD"/>
    <w:rsid w:val="00863887"/>
    <w:rsid w:val="008644CD"/>
    <w:rsid w:val="0086477F"/>
    <w:rsid w:val="00865FC4"/>
    <w:rsid w:val="00866AB0"/>
    <w:rsid w:val="008671D0"/>
    <w:rsid w:val="0086722D"/>
    <w:rsid w:val="008673FF"/>
    <w:rsid w:val="0087082E"/>
    <w:rsid w:val="00872713"/>
    <w:rsid w:val="00873F9B"/>
    <w:rsid w:val="0087546A"/>
    <w:rsid w:val="008764A8"/>
    <w:rsid w:val="00876E53"/>
    <w:rsid w:val="008771B6"/>
    <w:rsid w:val="00877716"/>
    <w:rsid w:val="00877BAB"/>
    <w:rsid w:val="0088000D"/>
    <w:rsid w:val="00881E24"/>
    <w:rsid w:val="0088239A"/>
    <w:rsid w:val="00882BE0"/>
    <w:rsid w:val="00882D6E"/>
    <w:rsid w:val="00883390"/>
    <w:rsid w:val="00883700"/>
    <w:rsid w:val="00883BAD"/>
    <w:rsid w:val="00883D0E"/>
    <w:rsid w:val="00884086"/>
    <w:rsid w:val="008843EE"/>
    <w:rsid w:val="008849CE"/>
    <w:rsid w:val="00884AEF"/>
    <w:rsid w:val="00884CC1"/>
    <w:rsid w:val="00884E20"/>
    <w:rsid w:val="00887F41"/>
    <w:rsid w:val="00890AA0"/>
    <w:rsid w:val="00890EA4"/>
    <w:rsid w:val="00892B73"/>
    <w:rsid w:val="00893066"/>
    <w:rsid w:val="008940EA"/>
    <w:rsid w:val="00894290"/>
    <w:rsid w:val="00894385"/>
    <w:rsid w:val="008953D4"/>
    <w:rsid w:val="00895F1C"/>
    <w:rsid w:val="0089651E"/>
    <w:rsid w:val="00897679"/>
    <w:rsid w:val="008A0B5D"/>
    <w:rsid w:val="008A116B"/>
    <w:rsid w:val="008A1875"/>
    <w:rsid w:val="008A1D7D"/>
    <w:rsid w:val="008A2D2D"/>
    <w:rsid w:val="008A360B"/>
    <w:rsid w:val="008A490F"/>
    <w:rsid w:val="008A53FD"/>
    <w:rsid w:val="008A5CD1"/>
    <w:rsid w:val="008A5CEE"/>
    <w:rsid w:val="008A5EE6"/>
    <w:rsid w:val="008A75FF"/>
    <w:rsid w:val="008A7D85"/>
    <w:rsid w:val="008B178A"/>
    <w:rsid w:val="008B3439"/>
    <w:rsid w:val="008B404A"/>
    <w:rsid w:val="008B475E"/>
    <w:rsid w:val="008B5400"/>
    <w:rsid w:val="008B547D"/>
    <w:rsid w:val="008B5FF4"/>
    <w:rsid w:val="008B6272"/>
    <w:rsid w:val="008B6A5F"/>
    <w:rsid w:val="008B6ADC"/>
    <w:rsid w:val="008B6F9C"/>
    <w:rsid w:val="008B73C2"/>
    <w:rsid w:val="008C0091"/>
    <w:rsid w:val="008C07C3"/>
    <w:rsid w:val="008C099A"/>
    <w:rsid w:val="008C19AE"/>
    <w:rsid w:val="008C1C6C"/>
    <w:rsid w:val="008C2B02"/>
    <w:rsid w:val="008C38BF"/>
    <w:rsid w:val="008C412D"/>
    <w:rsid w:val="008C46E1"/>
    <w:rsid w:val="008C594F"/>
    <w:rsid w:val="008C5BFD"/>
    <w:rsid w:val="008C653C"/>
    <w:rsid w:val="008C68E4"/>
    <w:rsid w:val="008C7215"/>
    <w:rsid w:val="008C77C6"/>
    <w:rsid w:val="008C7AB0"/>
    <w:rsid w:val="008C7E47"/>
    <w:rsid w:val="008D0B96"/>
    <w:rsid w:val="008D1162"/>
    <w:rsid w:val="008D2A00"/>
    <w:rsid w:val="008D41F2"/>
    <w:rsid w:val="008D4234"/>
    <w:rsid w:val="008D4926"/>
    <w:rsid w:val="008D5624"/>
    <w:rsid w:val="008D5694"/>
    <w:rsid w:val="008D61A2"/>
    <w:rsid w:val="008D61F3"/>
    <w:rsid w:val="008D622A"/>
    <w:rsid w:val="008D78C3"/>
    <w:rsid w:val="008D7B9F"/>
    <w:rsid w:val="008E0023"/>
    <w:rsid w:val="008E055D"/>
    <w:rsid w:val="008E09DD"/>
    <w:rsid w:val="008E1579"/>
    <w:rsid w:val="008E23D5"/>
    <w:rsid w:val="008E3162"/>
    <w:rsid w:val="008E41DC"/>
    <w:rsid w:val="008E512A"/>
    <w:rsid w:val="008F0B3E"/>
    <w:rsid w:val="008F4897"/>
    <w:rsid w:val="008F4905"/>
    <w:rsid w:val="008F5180"/>
    <w:rsid w:val="008F6483"/>
    <w:rsid w:val="008F6D33"/>
    <w:rsid w:val="00901027"/>
    <w:rsid w:val="00901F70"/>
    <w:rsid w:val="00903060"/>
    <w:rsid w:val="00903AE2"/>
    <w:rsid w:val="009054BD"/>
    <w:rsid w:val="00905A47"/>
    <w:rsid w:val="0090678A"/>
    <w:rsid w:val="00906D07"/>
    <w:rsid w:val="00907677"/>
    <w:rsid w:val="0091145C"/>
    <w:rsid w:val="00913266"/>
    <w:rsid w:val="00915873"/>
    <w:rsid w:val="009160C8"/>
    <w:rsid w:val="00916511"/>
    <w:rsid w:val="00916E58"/>
    <w:rsid w:val="009171D5"/>
    <w:rsid w:val="0091751C"/>
    <w:rsid w:val="009209FD"/>
    <w:rsid w:val="00922D20"/>
    <w:rsid w:val="00923AF9"/>
    <w:rsid w:val="009247D5"/>
    <w:rsid w:val="00924890"/>
    <w:rsid w:val="009258A3"/>
    <w:rsid w:val="00925D0F"/>
    <w:rsid w:val="00925D57"/>
    <w:rsid w:val="00925E17"/>
    <w:rsid w:val="00926767"/>
    <w:rsid w:val="00927842"/>
    <w:rsid w:val="0092795F"/>
    <w:rsid w:val="0093013B"/>
    <w:rsid w:val="00930C38"/>
    <w:rsid w:val="00930EE6"/>
    <w:rsid w:val="009316E4"/>
    <w:rsid w:val="00932110"/>
    <w:rsid w:val="009334FD"/>
    <w:rsid w:val="009355F8"/>
    <w:rsid w:val="009359D8"/>
    <w:rsid w:val="00935ADB"/>
    <w:rsid w:val="00937B6F"/>
    <w:rsid w:val="00940EF0"/>
    <w:rsid w:val="00941018"/>
    <w:rsid w:val="00941459"/>
    <w:rsid w:val="00941600"/>
    <w:rsid w:val="009424BD"/>
    <w:rsid w:val="00943224"/>
    <w:rsid w:val="00944120"/>
    <w:rsid w:val="0094488A"/>
    <w:rsid w:val="00946165"/>
    <w:rsid w:val="00946715"/>
    <w:rsid w:val="00947AA8"/>
    <w:rsid w:val="0095047B"/>
    <w:rsid w:val="00951CD2"/>
    <w:rsid w:val="00951E56"/>
    <w:rsid w:val="00953A72"/>
    <w:rsid w:val="009548BA"/>
    <w:rsid w:val="009550D7"/>
    <w:rsid w:val="0095719C"/>
    <w:rsid w:val="009575B2"/>
    <w:rsid w:val="009579CB"/>
    <w:rsid w:val="0096210B"/>
    <w:rsid w:val="00962217"/>
    <w:rsid w:val="00962545"/>
    <w:rsid w:val="00963883"/>
    <w:rsid w:val="009641BC"/>
    <w:rsid w:val="0096497B"/>
    <w:rsid w:val="00965A04"/>
    <w:rsid w:val="00966561"/>
    <w:rsid w:val="0096730A"/>
    <w:rsid w:val="009675B0"/>
    <w:rsid w:val="00967838"/>
    <w:rsid w:val="00970444"/>
    <w:rsid w:val="009736EA"/>
    <w:rsid w:val="0097441F"/>
    <w:rsid w:val="00974918"/>
    <w:rsid w:val="00975AA6"/>
    <w:rsid w:val="00975FCC"/>
    <w:rsid w:val="00980240"/>
    <w:rsid w:val="009804BF"/>
    <w:rsid w:val="0098120F"/>
    <w:rsid w:val="009814DF"/>
    <w:rsid w:val="00981BFE"/>
    <w:rsid w:val="00981E71"/>
    <w:rsid w:val="00981FA1"/>
    <w:rsid w:val="0098282B"/>
    <w:rsid w:val="00982C71"/>
    <w:rsid w:val="009841C9"/>
    <w:rsid w:val="009848BA"/>
    <w:rsid w:val="009858AC"/>
    <w:rsid w:val="009872A2"/>
    <w:rsid w:val="0099015C"/>
    <w:rsid w:val="00990918"/>
    <w:rsid w:val="00991A8E"/>
    <w:rsid w:val="00992553"/>
    <w:rsid w:val="009959F0"/>
    <w:rsid w:val="0099623A"/>
    <w:rsid w:val="00996CBF"/>
    <w:rsid w:val="009A05A3"/>
    <w:rsid w:val="009A0ED9"/>
    <w:rsid w:val="009A151D"/>
    <w:rsid w:val="009A233D"/>
    <w:rsid w:val="009A2349"/>
    <w:rsid w:val="009A279E"/>
    <w:rsid w:val="009A3538"/>
    <w:rsid w:val="009A44F8"/>
    <w:rsid w:val="009A5150"/>
    <w:rsid w:val="009A52BD"/>
    <w:rsid w:val="009A6403"/>
    <w:rsid w:val="009A6783"/>
    <w:rsid w:val="009A6881"/>
    <w:rsid w:val="009A7110"/>
    <w:rsid w:val="009A788B"/>
    <w:rsid w:val="009A7C1E"/>
    <w:rsid w:val="009B0058"/>
    <w:rsid w:val="009B02A5"/>
    <w:rsid w:val="009B0601"/>
    <w:rsid w:val="009B0E6F"/>
    <w:rsid w:val="009B1177"/>
    <w:rsid w:val="009B12D1"/>
    <w:rsid w:val="009B14CA"/>
    <w:rsid w:val="009B1932"/>
    <w:rsid w:val="009B1E46"/>
    <w:rsid w:val="009B1EC4"/>
    <w:rsid w:val="009B2884"/>
    <w:rsid w:val="009B2FAB"/>
    <w:rsid w:val="009B3020"/>
    <w:rsid w:val="009B3141"/>
    <w:rsid w:val="009B3B00"/>
    <w:rsid w:val="009B4064"/>
    <w:rsid w:val="009B4147"/>
    <w:rsid w:val="009B44B6"/>
    <w:rsid w:val="009B52E1"/>
    <w:rsid w:val="009B58EC"/>
    <w:rsid w:val="009B63B6"/>
    <w:rsid w:val="009B71AF"/>
    <w:rsid w:val="009B7E1A"/>
    <w:rsid w:val="009C0133"/>
    <w:rsid w:val="009C03E9"/>
    <w:rsid w:val="009C0670"/>
    <w:rsid w:val="009C0BE7"/>
    <w:rsid w:val="009C0D74"/>
    <w:rsid w:val="009C191C"/>
    <w:rsid w:val="009C33B0"/>
    <w:rsid w:val="009C3EA3"/>
    <w:rsid w:val="009C503E"/>
    <w:rsid w:val="009C5AD6"/>
    <w:rsid w:val="009C6676"/>
    <w:rsid w:val="009C66AD"/>
    <w:rsid w:val="009C7820"/>
    <w:rsid w:val="009D062C"/>
    <w:rsid w:val="009D0844"/>
    <w:rsid w:val="009D1309"/>
    <w:rsid w:val="009D17DC"/>
    <w:rsid w:val="009D2EC6"/>
    <w:rsid w:val="009D306F"/>
    <w:rsid w:val="009D4C16"/>
    <w:rsid w:val="009D57A2"/>
    <w:rsid w:val="009D60EE"/>
    <w:rsid w:val="009D653F"/>
    <w:rsid w:val="009D7167"/>
    <w:rsid w:val="009E02A5"/>
    <w:rsid w:val="009E0A77"/>
    <w:rsid w:val="009E0EB2"/>
    <w:rsid w:val="009E1D7F"/>
    <w:rsid w:val="009E4226"/>
    <w:rsid w:val="009E4FD8"/>
    <w:rsid w:val="009E50B2"/>
    <w:rsid w:val="009E6131"/>
    <w:rsid w:val="009E72CA"/>
    <w:rsid w:val="009E7CA9"/>
    <w:rsid w:val="009F1196"/>
    <w:rsid w:val="009F1B5E"/>
    <w:rsid w:val="009F2620"/>
    <w:rsid w:val="009F4682"/>
    <w:rsid w:val="009F524C"/>
    <w:rsid w:val="009F6309"/>
    <w:rsid w:val="00A0033B"/>
    <w:rsid w:val="00A00F64"/>
    <w:rsid w:val="00A00FDE"/>
    <w:rsid w:val="00A02316"/>
    <w:rsid w:val="00A028D1"/>
    <w:rsid w:val="00A03379"/>
    <w:rsid w:val="00A04B4A"/>
    <w:rsid w:val="00A055F1"/>
    <w:rsid w:val="00A05C0A"/>
    <w:rsid w:val="00A06C20"/>
    <w:rsid w:val="00A077C0"/>
    <w:rsid w:val="00A1042C"/>
    <w:rsid w:val="00A10B94"/>
    <w:rsid w:val="00A12779"/>
    <w:rsid w:val="00A13870"/>
    <w:rsid w:val="00A14B89"/>
    <w:rsid w:val="00A14FED"/>
    <w:rsid w:val="00A151C7"/>
    <w:rsid w:val="00A15DB0"/>
    <w:rsid w:val="00A168F1"/>
    <w:rsid w:val="00A1726A"/>
    <w:rsid w:val="00A17937"/>
    <w:rsid w:val="00A17F7F"/>
    <w:rsid w:val="00A213EC"/>
    <w:rsid w:val="00A214EB"/>
    <w:rsid w:val="00A21592"/>
    <w:rsid w:val="00A21DF7"/>
    <w:rsid w:val="00A2247E"/>
    <w:rsid w:val="00A23465"/>
    <w:rsid w:val="00A23F00"/>
    <w:rsid w:val="00A23FEF"/>
    <w:rsid w:val="00A24FBF"/>
    <w:rsid w:val="00A258C3"/>
    <w:rsid w:val="00A258EB"/>
    <w:rsid w:val="00A25ECE"/>
    <w:rsid w:val="00A266E6"/>
    <w:rsid w:val="00A26B51"/>
    <w:rsid w:val="00A2757F"/>
    <w:rsid w:val="00A31205"/>
    <w:rsid w:val="00A3132C"/>
    <w:rsid w:val="00A323DE"/>
    <w:rsid w:val="00A3268C"/>
    <w:rsid w:val="00A34240"/>
    <w:rsid w:val="00A351BD"/>
    <w:rsid w:val="00A3558A"/>
    <w:rsid w:val="00A36745"/>
    <w:rsid w:val="00A376A2"/>
    <w:rsid w:val="00A404BA"/>
    <w:rsid w:val="00A405E9"/>
    <w:rsid w:val="00A40AD1"/>
    <w:rsid w:val="00A41873"/>
    <w:rsid w:val="00A43A71"/>
    <w:rsid w:val="00A43ED0"/>
    <w:rsid w:val="00A44FAB"/>
    <w:rsid w:val="00A45777"/>
    <w:rsid w:val="00A46A23"/>
    <w:rsid w:val="00A46B32"/>
    <w:rsid w:val="00A46C2B"/>
    <w:rsid w:val="00A46CE1"/>
    <w:rsid w:val="00A470D5"/>
    <w:rsid w:val="00A4793F"/>
    <w:rsid w:val="00A502E2"/>
    <w:rsid w:val="00A50763"/>
    <w:rsid w:val="00A5379B"/>
    <w:rsid w:val="00A54E30"/>
    <w:rsid w:val="00A55A20"/>
    <w:rsid w:val="00A55AB8"/>
    <w:rsid w:val="00A56D35"/>
    <w:rsid w:val="00A56EA6"/>
    <w:rsid w:val="00A576ED"/>
    <w:rsid w:val="00A602D8"/>
    <w:rsid w:val="00A618E4"/>
    <w:rsid w:val="00A62774"/>
    <w:rsid w:val="00A62DDE"/>
    <w:rsid w:val="00A632A6"/>
    <w:rsid w:val="00A63A6E"/>
    <w:rsid w:val="00A64DDF"/>
    <w:rsid w:val="00A67B3C"/>
    <w:rsid w:val="00A67CF3"/>
    <w:rsid w:val="00A71AB6"/>
    <w:rsid w:val="00A740B9"/>
    <w:rsid w:val="00A74640"/>
    <w:rsid w:val="00A746D0"/>
    <w:rsid w:val="00A74CFD"/>
    <w:rsid w:val="00A76FCB"/>
    <w:rsid w:val="00A774C7"/>
    <w:rsid w:val="00A80190"/>
    <w:rsid w:val="00A806EA"/>
    <w:rsid w:val="00A81072"/>
    <w:rsid w:val="00A818D2"/>
    <w:rsid w:val="00A81E4F"/>
    <w:rsid w:val="00A82B03"/>
    <w:rsid w:val="00A8308F"/>
    <w:rsid w:val="00A832B1"/>
    <w:rsid w:val="00A832D6"/>
    <w:rsid w:val="00A834B7"/>
    <w:rsid w:val="00A8376E"/>
    <w:rsid w:val="00A83F70"/>
    <w:rsid w:val="00A8475F"/>
    <w:rsid w:val="00A85F15"/>
    <w:rsid w:val="00A86A72"/>
    <w:rsid w:val="00A86DE7"/>
    <w:rsid w:val="00A87294"/>
    <w:rsid w:val="00A87E33"/>
    <w:rsid w:val="00A9042F"/>
    <w:rsid w:val="00A912A6"/>
    <w:rsid w:val="00A91765"/>
    <w:rsid w:val="00A91A26"/>
    <w:rsid w:val="00A92008"/>
    <w:rsid w:val="00A934BE"/>
    <w:rsid w:val="00A9540E"/>
    <w:rsid w:val="00A96927"/>
    <w:rsid w:val="00AA06DF"/>
    <w:rsid w:val="00AA128A"/>
    <w:rsid w:val="00AA1CCA"/>
    <w:rsid w:val="00AA1E85"/>
    <w:rsid w:val="00AA22BC"/>
    <w:rsid w:val="00AA37C0"/>
    <w:rsid w:val="00AA50A5"/>
    <w:rsid w:val="00AA592B"/>
    <w:rsid w:val="00AA5F61"/>
    <w:rsid w:val="00AA6493"/>
    <w:rsid w:val="00AA704F"/>
    <w:rsid w:val="00AA72BA"/>
    <w:rsid w:val="00AB0651"/>
    <w:rsid w:val="00AB3730"/>
    <w:rsid w:val="00AB4B0E"/>
    <w:rsid w:val="00AB55C3"/>
    <w:rsid w:val="00AB77C4"/>
    <w:rsid w:val="00AB7C19"/>
    <w:rsid w:val="00AC0533"/>
    <w:rsid w:val="00AC0818"/>
    <w:rsid w:val="00AC2083"/>
    <w:rsid w:val="00AC261A"/>
    <w:rsid w:val="00AC32CA"/>
    <w:rsid w:val="00AC39A3"/>
    <w:rsid w:val="00AC4BBD"/>
    <w:rsid w:val="00AC73B4"/>
    <w:rsid w:val="00AC789F"/>
    <w:rsid w:val="00AD013E"/>
    <w:rsid w:val="00AD0DE4"/>
    <w:rsid w:val="00AD15B0"/>
    <w:rsid w:val="00AD226D"/>
    <w:rsid w:val="00AD28FA"/>
    <w:rsid w:val="00AD2C59"/>
    <w:rsid w:val="00AD2F96"/>
    <w:rsid w:val="00AD3B94"/>
    <w:rsid w:val="00AD3EF7"/>
    <w:rsid w:val="00AD4C74"/>
    <w:rsid w:val="00AD5F0A"/>
    <w:rsid w:val="00AD5F29"/>
    <w:rsid w:val="00AD669B"/>
    <w:rsid w:val="00AD67AA"/>
    <w:rsid w:val="00AE0E57"/>
    <w:rsid w:val="00AE1856"/>
    <w:rsid w:val="00AE2C7A"/>
    <w:rsid w:val="00AE2CF2"/>
    <w:rsid w:val="00AE3F55"/>
    <w:rsid w:val="00AE4A45"/>
    <w:rsid w:val="00AE5403"/>
    <w:rsid w:val="00AE64E5"/>
    <w:rsid w:val="00AE6A2B"/>
    <w:rsid w:val="00AE71E0"/>
    <w:rsid w:val="00AF0503"/>
    <w:rsid w:val="00AF0660"/>
    <w:rsid w:val="00AF1703"/>
    <w:rsid w:val="00AF199B"/>
    <w:rsid w:val="00AF19EE"/>
    <w:rsid w:val="00AF1A93"/>
    <w:rsid w:val="00AF297E"/>
    <w:rsid w:val="00AF3271"/>
    <w:rsid w:val="00AF3373"/>
    <w:rsid w:val="00AF3D23"/>
    <w:rsid w:val="00AF4647"/>
    <w:rsid w:val="00AF482F"/>
    <w:rsid w:val="00AF49BE"/>
    <w:rsid w:val="00AF4A33"/>
    <w:rsid w:val="00AF4C87"/>
    <w:rsid w:val="00AF5529"/>
    <w:rsid w:val="00AF5556"/>
    <w:rsid w:val="00AF608C"/>
    <w:rsid w:val="00AF6A12"/>
    <w:rsid w:val="00AF6DF4"/>
    <w:rsid w:val="00AF79B4"/>
    <w:rsid w:val="00AF7F3A"/>
    <w:rsid w:val="00B015DC"/>
    <w:rsid w:val="00B01C6D"/>
    <w:rsid w:val="00B03D44"/>
    <w:rsid w:val="00B040E5"/>
    <w:rsid w:val="00B05075"/>
    <w:rsid w:val="00B05F5C"/>
    <w:rsid w:val="00B05F99"/>
    <w:rsid w:val="00B06179"/>
    <w:rsid w:val="00B06580"/>
    <w:rsid w:val="00B07916"/>
    <w:rsid w:val="00B07DDD"/>
    <w:rsid w:val="00B108DB"/>
    <w:rsid w:val="00B114EA"/>
    <w:rsid w:val="00B11617"/>
    <w:rsid w:val="00B1225A"/>
    <w:rsid w:val="00B13A33"/>
    <w:rsid w:val="00B13BB7"/>
    <w:rsid w:val="00B15BD6"/>
    <w:rsid w:val="00B16913"/>
    <w:rsid w:val="00B207DF"/>
    <w:rsid w:val="00B216F9"/>
    <w:rsid w:val="00B219F6"/>
    <w:rsid w:val="00B21A19"/>
    <w:rsid w:val="00B23088"/>
    <w:rsid w:val="00B248F3"/>
    <w:rsid w:val="00B26C50"/>
    <w:rsid w:val="00B26F7D"/>
    <w:rsid w:val="00B275B2"/>
    <w:rsid w:val="00B30990"/>
    <w:rsid w:val="00B30FCC"/>
    <w:rsid w:val="00B31143"/>
    <w:rsid w:val="00B32829"/>
    <w:rsid w:val="00B33D0A"/>
    <w:rsid w:val="00B3466E"/>
    <w:rsid w:val="00B351B7"/>
    <w:rsid w:val="00B371CF"/>
    <w:rsid w:val="00B378A1"/>
    <w:rsid w:val="00B40713"/>
    <w:rsid w:val="00B41810"/>
    <w:rsid w:val="00B41D86"/>
    <w:rsid w:val="00B4276B"/>
    <w:rsid w:val="00B4279C"/>
    <w:rsid w:val="00B43BC9"/>
    <w:rsid w:val="00B4460E"/>
    <w:rsid w:val="00B44668"/>
    <w:rsid w:val="00B4593E"/>
    <w:rsid w:val="00B45A61"/>
    <w:rsid w:val="00B45E0D"/>
    <w:rsid w:val="00B46443"/>
    <w:rsid w:val="00B46DA5"/>
    <w:rsid w:val="00B470E3"/>
    <w:rsid w:val="00B50C80"/>
    <w:rsid w:val="00B5375A"/>
    <w:rsid w:val="00B56B87"/>
    <w:rsid w:val="00B5743B"/>
    <w:rsid w:val="00B60263"/>
    <w:rsid w:val="00B603BA"/>
    <w:rsid w:val="00B605C0"/>
    <w:rsid w:val="00B62190"/>
    <w:rsid w:val="00B62374"/>
    <w:rsid w:val="00B63704"/>
    <w:rsid w:val="00B63AD3"/>
    <w:rsid w:val="00B63C5B"/>
    <w:rsid w:val="00B63F7A"/>
    <w:rsid w:val="00B6540F"/>
    <w:rsid w:val="00B65549"/>
    <w:rsid w:val="00B6667D"/>
    <w:rsid w:val="00B67A9D"/>
    <w:rsid w:val="00B7006D"/>
    <w:rsid w:val="00B70F58"/>
    <w:rsid w:val="00B71CC1"/>
    <w:rsid w:val="00B71E9B"/>
    <w:rsid w:val="00B72072"/>
    <w:rsid w:val="00B729E5"/>
    <w:rsid w:val="00B72ADE"/>
    <w:rsid w:val="00B7416E"/>
    <w:rsid w:val="00B745D4"/>
    <w:rsid w:val="00B7617B"/>
    <w:rsid w:val="00B761B8"/>
    <w:rsid w:val="00B76B62"/>
    <w:rsid w:val="00B77F3D"/>
    <w:rsid w:val="00B81408"/>
    <w:rsid w:val="00B81725"/>
    <w:rsid w:val="00B81994"/>
    <w:rsid w:val="00B81F00"/>
    <w:rsid w:val="00B82196"/>
    <w:rsid w:val="00B821A6"/>
    <w:rsid w:val="00B822DD"/>
    <w:rsid w:val="00B82543"/>
    <w:rsid w:val="00B82FDE"/>
    <w:rsid w:val="00B84436"/>
    <w:rsid w:val="00B84E36"/>
    <w:rsid w:val="00B862C7"/>
    <w:rsid w:val="00B87D70"/>
    <w:rsid w:val="00B90A40"/>
    <w:rsid w:val="00B92491"/>
    <w:rsid w:val="00B92903"/>
    <w:rsid w:val="00B936BF"/>
    <w:rsid w:val="00B95251"/>
    <w:rsid w:val="00B95309"/>
    <w:rsid w:val="00B95C08"/>
    <w:rsid w:val="00B97045"/>
    <w:rsid w:val="00B97541"/>
    <w:rsid w:val="00BA0776"/>
    <w:rsid w:val="00BA0823"/>
    <w:rsid w:val="00BA0D51"/>
    <w:rsid w:val="00BA0F80"/>
    <w:rsid w:val="00BA14BC"/>
    <w:rsid w:val="00BA1939"/>
    <w:rsid w:val="00BA1B09"/>
    <w:rsid w:val="00BA1C56"/>
    <w:rsid w:val="00BA1F5F"/>
    <w:rsid w:val="00BA3119"/>
    <w:rsid w:val="00BA3C65"/>
    <w:rsid w:val="00BA4CB3"/>
    <w:rsid w:val="00BA5681"/>
    <w:rsid w:val="00BA5685"/>
    <w:rsid w:val="00BA5A03"/>
    <w:rsid w:val="00BA5A9A"/>
    <w:rsid w:val="00BA5D22"/>
    <w:rsid w:val="00BA677A"/>
    <w:rsid w:val="00BA69E5"/>
    <w:rsid w:val="00BA6D38"/>
    <w:rsid w:val="00BA770D"/>
    <w:rsid w:val="00BA7CBC"/>
    <w:rsid w:val="00BB0534"/>
    <w:rsid w:val="00BB081A"/>
    <w:rsid w:val="00BB14B7"/>
    <w:rsid w:val="00BB2029"/>
    <w:rsid w:val="00BB2D89"/>
    <w:rsid w:val="00BB3A89"/>
    <w:rsid w:val="00BB3B30"/>
    <w:rsid w:val="00BB4D80"/>
    <w:rsid w:val="00BB4FAC"/>
    <w:rsid w:val="00BB56BE"/>
    <w:rsid w:val="00BB7E49"/>
    <w:rsid w:val="00BB7FDF"/>
    <w:rsid w:val="00BC04AC"/>
    <w:rsid w:val="00BC0986"/>
    <w:rsid w:val="00BC1277"/>
    <w:rsid w:val="00BC1427"/>
    <w:rsid w:val="00BC1591"/>
    <w:rsid w:val="00BC1D15"/>
    <w:rsid w:val="00BC1D92"/>
    <w:rsid w:val="00BC2090"/>
    <w:rsid w:val="00BC2A07"/>
    <w:rsid w:val="00BC2B49"/>
    <w:rsid w:val="00BC2CA8"/>
    <w:rsid w:val="00BC2D00"/>
    <w:rsid w:val="00BC3499"/>
    <w:rsid w:val="00BC3F44"/>
    <w:rsid w:val="00BC4B6E"/>
    <w:rsid w:val="00BC4C5C"/>
    <w:rsid w:val="00BC54D0"/>
    <w:rsid w:val="00BC6392"/>
    <w:rsid w:val="00BC67FF"/>
    <w:rsid w:val="00BD0054"/>
    <w:rsid w:val="00BD08E4"/>
    <w:rsid w:val="00BD1C8F"/>
    <w:rsid w:val="00BD2850"/>
    <w:rsid w:val="00BD3D24"/>
    <w:rsid w:val="00BD4A6C"/>
    <w:rsid w:val="00BD53CD"/>
    <w:rsid w:val="00BD6004"/>
    <w:rsid w:val="00BD6278"/>
    <w:rsid w:val="00BD6E02"/>
    <w:rsid w:val="00BD6FD8"/>
    <w:rsid w:val="00BD7496"/>
    <w:rsid w:val="00BD78C3"/>
    <w:rsid w:val="00BD7DA9"/>
    <w:rsid w:val="00BD7E3D"/>
    <w:rsid w:val="00BD7F9D"/>
    <w:rsid w:val="00BE0309"/>
    <w:rsid w:val="00BE032A"/>
    <w:rsid w:val="00BE1214"/>
    <w:rsid w:val="00BE1372"/>
    <w:rsid w:val="00BE182E"/>
    <w:rsid w:val="00BE275F"/>
    <w:rsid w:val="00BE292F"/>
    <w:rsid w:val="00BE2BB3"/>
    <w:rsid w:val="00BE2C64"/>
    <w:rsid w:val="00BE4DA4"/>
    <w:rsid w:val="00BE5589"/>
    <w:rsid w:val="00BE5C0D"/>
    <w:rsid w:val="00BE6FDD"/>
    <w:rsid w:val="00BE7FB5"/>
    <w:rsid w:val="00BF059C"/>
    <w:rsid w:val="00BF06E8"/>
    <w:rsid w:val="00BF1D79"/>
    <w:rsid w:val="00BF2A00"/>
    <w:rsid w:val="00BF4426"/>
    <w:rsid w:val="00BF4DEE"/>
    <w:rsid w:val="00BF521A"/>
    <w:rsid w:val="00BF5DB9"/>
    <w:rsid w:val="00C03BF1"/>
    <w:rsid w:val="00C048B4"/>
    <w:rsid w:val="00C04E59"/>
    <w:rsid w:val="00C101D6"/>
    <w:rsid w:val="00C10ECC"/>
    <w:rsid w:val="00C11398"/>
    <w:rsid w:val="00C11E82"/>
    <w:rsid w:val="00C12E06"/>
    <w:rsid w:val="00C131F5"/>
    <w:rsid w:val="00C13CA8"/>
    <w:rsid w:val="00C14065"/>
    <w:rsid w:val="00C14263"/>
    <w:rsid w:val="00C15252"/>
    <w:rsid w:val="00C15E10"/>
    <w:rsid w:val="00C17115"/>
    <w:rsid w:val="00C17D2A"/>
    <w:rsid w:val="00C203CD"/>
    <w:rsid w:val="00C20480"/>
    <w:rsid w:val="00C21F3B"/>
    <w:rsid w:val="00C225AA"/>
    <w:rsid w:val="00C25D96"/>
    <w:rsid w:val="00C25E2B"/>
    <w:rsid w:val="00C25F1A"/>
    <w:rsid w:val="00C2600F"/>
    <w:rsid w:val="00C26EEB"/>
    <w:rsid w:val="00C27BD4"/>
    <w:rsid w:val="00C31210"/>
    <w:rsid w:val="00C319EF"/>
    <w:rsid w:val="00C3346B"/>
    <w:rsid w:val="00C3524F"/>
    <w:rsid w:val="00C35A4B"/>
    <w:rsid w:val="00C35DBE"/>
    <w:rsid w:val="00C3605B"/>
    <w:rsid w:val="00C4001D"/>
    <w:rsid w:val="00C401EF"/>
    <w:rsid w:val="00C40371"/>
    <w:rsid w:val="00C412CD"/>
    <w:rsid w:val="00C446A0"/>
    <w:rsid w:val="00C45225"/>
    <w:rsid w:val="00C466D8"/>
    <w:rsid w:val="00C4739B"/>
    <w:rsid w:val="00C507A9"/>
    <w:rsid w:val="00C50BAF"/>
    <w:rsid w:val="00C50E13"/>
    <w:rsid w:val="00C50E8B"/>
    <w:rsid w:val="00C51811"/>
    <w:rsid w:val="00C51AA0"/>
    <w:rsid w:val="00C52564"/>
    <w:rsid w:val="00C525B0"/>
    <w:rsid w:val="00C52FEB"/>
    <w:rsid w:val="00C53978"/>
    <w:rsid w:val="00C53E16"/>
    <w:rsid w:val="00C54834"/>
    <w:rsid w:val="00C54A3B"/>
    <w:rsid w:val="00C54DDC"/>
    <w:rsid w:val="00C550F0"/>
    <w:rsid w:val="00C55E69"/>
    <w:rsid w:val="00C56AD9"/>
    <w:rsid w:val="00C56CE9"/>
    <w:rsid w:val="00C56E04"/>
    <w:rsid w:val="00C56E5D"/>
    <w:rsid w:val="00C57B6C"/>
    <w:rsid w:val="00C60D1E"/>
    <w:rsid w:val="00C6100E"/>
    <w:rsid w:val="00C6168B"/>
    <w:rsid w:val="00C621B3"/>
    <w:rsid w:val="00C6492C"/>
    <w:rsid w:val="00C64F65"/>
    <w:rsid w:val="00C65F61"/>
    <w:rsid w:val="00C66427"/>
    <w:rsid w:val="00C66D2F"/>
    <w:rsid w:val="00C676ED"/>
    <w:rsid w:val="00C67AED"/>
    <w:rsid w:val="00C70442"/>
    <w:rsid w:val="00C7081C"/>
    <w:rsid w:val="00C71087"/>
    <w:rsid w:val="00C71380"/>
    <w:rsid w:val="00C72C05"/>
    <w:rsid w:val="00C73EDA"/>
    <w:rsid w:val="00C73F21"/>
    <w:rsid w:val="00C7421E"/>
    <w:rsid w:val="00C7451C"/>
    <w:rsid w:val="00C74791"/>
    <w:rsid w:val="00C754C2"/>
    <w:rsid w:val="00C7687C"/>
    <w:rsid w:val="00C76963"/>
    <w:rsid w:val="00C80B31"/>
    <w:rsid w:val="00C80FB7"/>
    <w:rsid w:val="00C819C2"/>
    <w:rsid w:val="00C81BFC"/>
    <w:rsid w:val="00C823E1"/>
    <w:rsid w:val="00C8276F"/>
    <w:rsid w:val="00C82C41"/>
    <w:rsid w:val="00C83B90"/>
    <w:rsid w:val="00C83D59"/>
    <w:rsid w:val="00C84072"/>
    <w:rsid w:val="00C840B0"/>
    <w:rsid w:val="00C8706A"/>
    <w:rsid w:val="00C875FA"/>
    <w:rsid w:val="00C8798F"/>
    <w:rsid w:val="00C87A5E"/>
    <w:rsid w:val="00C90DC2"/>
    <w:rsid w:val="00C90F4C"/>
    <w:rsid w:val="00C91388"/>
    <w:rsid w:val="00C934F9"/>
    <w:rsid w:val="00C9366F"/>
    <w:rsid w:val="00C94A59"/>
    <w:rsid w:val="00C951D0"/>
    <w:rsid w:val="00C96F4C"/>
    <w:rsid w:val="00CA1878"/>
    <w:rsid w:val="00CA1A63"/>
    <w:rsid w:val="00CA1DB7"/>
    <w:rsid w:val="00CA2696"/>
    <w:rsid w:val="00CA2B8E"/>
    <w:rsid w:val="00CA2CC8"/>
    <w:rsid w:val="00CA30BC"/>
    <w:rsid w:val="00CA438B"/>
    <w:rsid w:val="00CA4535"/>
    <w:rsid w:val="00CA7104"/>
    <w:rsid w:val="00CA7524"/>
    <w:rsid w:val="00CA7844"/>
    <w:rsid w:val="00CB030F"/>
    <w:rsid w:val="00CB08AC"/>
    <w:rsid w:val="00CB09BF"/>
    <w:rsid w:val="00CB0A43"/>
    <w:rsid w:val="00CB0D24"/>
    <w:rsid w:val="00CB2958"/>
    <w:rsid w:val="00CB4809"/>
    <w:rsid w:val="00CB63F9"/>
    <w:rsid w:val="00CB6801"/>
    <w:rsid w:val="00CB69F5"/>
    <w:rsid w:val="00CB6BC1"/>
    <w:rsid w:val="00CB77EA"/>
    <w:rsid w:val="00CB7C12"/>
    <w:rsid w:val="00CB7FE8"/>
    <w:rsid w:val="00CC009E"/>
    <w:rsid w:val="00CC00FB"/>
    <w:rsid w:val="00CC025B"/>
    <w:rsid w:val="00CC0692"/>
    <w:rsid w:val="00CC090D"/>
    <w:rsid w:val="00CC102C"/>
    <w:rsid w:val="00CC1268"/>
    <w:rsid w:val="00CC14C3"/>
    <w:rsid w:val="00CC15EB"/>
    <w:rsid w:val="00CC2EFB"/>
    <w:rsid w:val="00CC353C"/>
    <w:rsid w:val="00CC364F"/>
    <w:rsid w:val="00CC3E82"/>
    <w:rsid w:val="00CC5354"/>
    <w:rsid w:val="00CC5638"/>
    <w:rsid w:val="00CC5CFD"/>
    <w:rsid w:val="00CC6DC2"/>
    <w:rsid w:val="00CC7674"/>
    <w:rsid w:val="00CC7789"/>
    <w:rsid w:val="00CD11C2"/>
    <w:rsid w:val="00CD1332"/>
    <w:rsid w:val="00CD2D55"/>
    <w:rsid w:val="00CD30DC"/>
    <w:rsid w:val="00CD5D14"/>
    <w:rsid w:val="00CD7626"/>
    <w:rsid w:val="00CE124D"/>
    <w:rsid w:val="00CE1335"/>
    <w:rsid w:val="00CE1609"/>
    <w:rsid w:val="00CE2636"/>
    <w:rsid w:val="00CE3916"/>
    <w:rsid w:val="00CE4814"/>
    <w:rsid w:val="00CE61B9"/>
    <w:rsid w:val="00CE6A17"/>
    <w:rsid w:val="00CE7D99"/>
    <w:rsid w:val="00CF0768"/>
    <w:rsid w:val="00CF1AD6"/>
    <w:rsid w:val="00CF25AA"/>
    <w:rsid w:val="00CF26BB"/>
    <w:rsid w:val="00CF2B16"/>
    <w:rsid w:val="00CF46EC"/>
    <w:rsid w:val="00CF4BB2"/>
    <w:rsid w:val="00CF521B"/>
    <w:rsid w:val="00CF5315"/>
    <w:rsid w:val="00CF5471"/>
    <w:rsid w:val="00CF71A8"/>
    <w:rsid w:val="00D01910"/>
    <w:rsid w:val="00D01FEF"/>
    <w:rsid w:val="00D03290"/>
    <w:rsid w:val="00D03A0B"/>
    <w:rsid w:val="00D0411D"/>
    <w:rsid w:val="00D06309"/>
    <w:rsid w:val="00D065A7"/>
    <w:rsid w:val="00D1078E"/>
    <w:rsid w:val="00D10ACB"/>
    <w:rsid w:val="00D1228F"/>
    <w:rsid w:val="00D12693"/>
    <w:rsid w:val="00D12767"/>
    <w:rsid w:val="00D13261"/>
    <w:rsid w:val="00D13EFD"/>
    <w:rsid w:val="00D1410D"/>
    <w:rsid w:val="00D15024"/>
    <w:rsid w:val="00D15275"/>
    <w:rsid w:val="00D15BE2"/>
    <w:rsid w:val="00D1737E"/>
    <w:rsid w:val="00D17932"/>
    <w:rsid w:val="00D17A8C"/>
    <w:rsid w:val="00D2209C"/>
    <w:rsid w:val="00D22726"/>
    <w:rsid w:val="00D24001"/>
    <w:rsid w:val="00D24465"/>
    <w:rsid w:val="00D24C30"/>
    <w:rsid w:val="00D25145"/>
    <w:rsid w:val="00D25ECA"/>
    <w:rsid w:val="00D262DA"/>
    <w:rsid w:val="00D26D8F"/>
    <w:rsid w:val="00D2758D"/>
    <w:rsid w:val="00D30B07"/>
    <w:rsid w:val="00D30E19"/>
    <w:rsid w:val="00D31174"/>
    <w:rsid w:val="00D316BB"/>
    <w:rsid w:val="00D31A57"/>
    <w:rsid w:val="00D32EC8"/>
    <w:rsid w:val="00D3312E"/>
    <w:rsid w:val="00D33834"/>
    <w:rsid w:val="00D33959"/>
    <w:rsid w:val="00D33962"/>
    <w:rsid w:val="00D34699"/>
    <w:rsid w:val="00D3532A"/>
    <w:rsid w:val="00D35BDE"/>
    <w:rsid w:val="00D35C53"/>
    <w:rsid w:val="00D366A8"/>
    <w:rsid w:val="00D41375"/>
    <w:rsid w:val="00D41C8F"/>
    <w:rsid w:val="00D437F2"/>
    <w:rsid w:val="00D43A4A"/>
    <w:rsid w:val="00D4538B"/>
    <w:rsid w:val="00D4610F"/>
    <w:rsid w:val="00D47155"/>
    <w:rsid w:val="00D47BBD"/>
    <w:rsid w:val="00D47DBC"/>
    <w:rsid w:val="00D50940"/>
    <w:rsid w:val="00D50983"/>
    <w:rsid w:val="00D50D3E"/>
    <w:rsid w:val="00D51175"/>
    <w:rsid w:val="00D51B3D"/>
    <w:rsid w:val="00D52053"/>
    <w:rsid w:val="00D53AB5"/>
    <w:rsid w:val="00D53C02"/>
    <w:rsid w:val="00D543A9"/>
    <w:rsid w:val="00D55025"/>
    <w:rsid w:val="00D556E8"/>
    <w:rsid w:val="00D560D5"/>
    <w:rsid w:val="00D560F8"/>
    <w:rsid w:val="00D567BB"/>
    <w:rsid w:val="00D57AB0"/>
    <w:rsid w:val="00D57FDC"/>
    <w:rsid w:val="00D60295"/>
    <w:rsid w:val="00D603BD"/>
    <w:rsid w:val="00D60AB3"/>
    <w:rsid w:val="00D60BBA"/>
    <w:rsid w:val="00D60CCC"/>
    <w:rsid w:val="00D6174F"/>
    <w:rsid w:val="00D61C7D"/>
    <w:rsid w:val="00D620EF"/>
    <w:rsid w:val="00D62444"/>
    <w:rsid w:val="00D63EBA"/>
    <w:rsid w:val="00D6406B"/>
    <w:rsid w:val="00D649C3"/>
    <w:rsid w:val="00D64A87"/>
    <w:rsid w:val="00D65ADE"/>
    <w:rsid w:val="00D6603A"/>
    <w:rsid w:val="00D7072C"/>
    <w:rsid w:val="00D7120D"/>
    <w:rsid w:val="00D73FF8"/>
    <w:rsid w:val="00D749FF"/>
    <w:rsid w:val="00D74DA5"/>
    <w:rsid w:val="00D750A6"/>
    <w:rsid w:val="00D750B6"/>
    <w:rsid w:val="00D751D4"/>
    <w:rsid w:val="00D7594A"/>
    <w:rsid w:val="00D77572"/>
    <w:rsid w:val="00D77B38"/>
    <w:rsid w:val="00D80E45"/>
    <w:rsid w:val="00D8126E"/>
    <w:rsid w:val="00D81CD4"/>
    <w:rsid w:val="00D82EAF"/>
    <w:rsid w:val="00D833C0"/>
    <w:rsid w:val="00D8476D"/>
    <w:rsid w:val="00D85198"/>
    <w:rsid w:val="00D85B53"/>
    <w:rsid w:val="00D85CEB"/>
    <w:rsid w:val="00D86EF4"/>
    <w:rsid w:val="00D87FDE"/>
    <w:rsid w:val="00D90186"/>
    <w:rsid w:val="00D913F6"/>
    <w:rsid w:val="00D9161D"/>
    <w:rsid w:val="00D920CF"/>
    <w:rsid w:val="00D92258"/>
    <w:rsid w:val="00D925D1"/>
    <w:rsid w:val="00D93C71"/>
    <w:rsid w:val="00D95161"/>
    <w:rsid w:val="00D95A0A"/>
    <w:rsid w:val="00D96429"/>
    <w:rsid w:val="00D96B6A"/>
    <w:rsid w:val="00D976C1"/>
    <w:rsid w:val="00D9790B"/>
    <w:rsid w:val="00D97F3A"/>
    <w:rsid w:val="00DA08BB"/>
    <w:rsid w:val="00DA1022"/>
    <w:rsid w:val="00DA10D5"/>
    <w:rsid w:val="00DA283F"/>
    <w:rsid w:val="00DA2F7B"/>
    <w:rsid w:val="00DA512F"/>
    <w:rsid w:val="00DA5620"/>
    <w:rsid w:val="00DA5D89"/>
    <w:rsid w:val="00DA698B"/>
    <w:rsid w:val="00DA7193"/>
    <w:rsid w:val="00DA7733"/>
    <w:rsid w:val="00DA7903"/>
    <w:rsid w:val="00DA7D8A"/>
    <w:rsid w:val="00DA7D91"/>
    <w:rsid w:val="00DA7FE9"/>
    <w:rsid w:val="00DB0B5B"/>
    <w:rsid w:val="00DB2C29"/>
    <w:rsid w:val="00DB3F07"/>
    <w:rsid w:val="00DB51FE"/>
    <w:rsid w:val="00DB56EC"/>
    <w:rsid w:val="00DB6913"/>
    <w:rsid w:val="00DC0473"/>
    <w:rsid w:val="00DC0D92"/>
    <w:rsid w:val="00DC16C4"/>
    <w:rsid w:val="00DC1840"/>
    <w:rsid w:val="00DC1D0E"/>
    <w:rsid w:val="00DC1D5A"/>
    <w:rsid w:val="00DC2F28"/>
    <w:rsid w:val="00DC3EAD"/>
    <w:rsid w:val="00DC429F"/>
    <w:rsid w:val="00DC44BB"/>
    <w:rsid w:val="00DC4DBC"/>
    <w:rsid w:val="00DC630F"/>
    <w:rsid w:val="00DC6B7B"/>
    <w:rsid w:val="00DC7538"/>
    <w:rsid w:val="00DD0850"/>
    <w:rsid w:val="00DD0988"/>
    <w:rsid w:val="00DD2175"/>
    <w:rsid w:val="00DD312E"/>
    <w:rsid w:val="00DD3A08"/>
    <w:rsid w:val="00DD43D0"/>
    <w:rsid w:val="00DD46A2"/>
    <w:rsid w:val="00DD4723"/>
    <w:rsid w:val="00DD615E"/>
    <w:rsid w:val="00DD630D"/>
    <w:rsid w:val="00DD6E4B"/>
    <w:rsid w:val="00DD7254"/>
    <w:rsid w:val="00DD7F58"/>
    <w:rsid w:val="00DE0048"/>
    <w:rsid w:val="00DE0C0C"/>
    <w:rsid w:val="00DE2BA4"/>
    <w:rsid w:val="00DE4FBF"/>
    <w:rsid w:val="00DE518B"/>
    <w:rsid w:val="00DE5865"/>
    <w:rsid w:val="00DE605C"/>
    <w:rsid w:val="00DE7296"/>
    <w:rsid w:val="00DF01CF"/>
    <w:rsid w:val="00DF026E"/>
    <w:rsid w:val="00DF0696"/>
    <w:rsid w:val="00DF15A8"/>
    <w:rsid w:val="00DF25B5"/>
    <w:rsid w:val="00DF27F0"/>
    <w:rsid w:val="00DF3290"/>
    <w:rsid w:val="00DF456A"/>
    <w:rsid w:val="00DF4F76"/>
    <w:rsid w:val="00DF6698"/>
    <w:rsid w:val="00E01DB7"/>
    <w:rsid w:val="00E0235E"/>
    <w:rsid w:val="00E02695"/>
    <w:rsid w:val="00E02C38"/>
    <w:rsid w:val="00E05162"/>
    <w:rsid w:val="00E06A30"/>
    <w:rsid w:val="00E0750D"/>
    <w:rsid w:val="00E07B71"/>
    <w:rsid w:val="00E07D3F"/>
    <w:rsid w:val="00E10B8A"/>
    <w:rsid w:val="00E10DA4"/>
    <w:rsid w:val="00E11E7E"/>
    <w:rsid w:val="00E12016"/>
    <w:rsid w:val="00E13019"/>
    <w:rsid w:val="00E1436D"/>
    <w:rsid w:val="00E14594"/>
    <w:rsid w:val="00E14598"/>
    <w:rsid w:val="00E14717"/>
    <w:rsid w:val="00E14952"/>
    <w:rsid w:val="00E149AF"/>
    <w:rsid w:val="00E14D1D"/>
    <w:rsid w:val="00E154BF"/>
    <w:rsid w:val="00E1595D"/>
    <w:rsid w:val="00E15E3A"/>
    <w:rsid w:val="00E16DB3"/>
    <w:rsid w:val="00E207E1"/>
    <w:rsid w:val="00E20D51"/>
    <w:rsid w:val="00E2124F"/>
    <w:rsid w:val="00E218EE"/>
    <w:rsid w:val="00E21D51"/>
    <w:rsid w:val="00E2443D"/>
    <w:rsid w:val="00E24D5C"/>
    <w:rsid w:val="00E260BB"/>
    <w:rsid w:val="00E26EDD"/>
    <w:rsid w:val="00E2739D"/>
    <w:rsid w:val="00E2756F"/>
    <w:rsid w:val="00E30DA9"/>
    <w:rsid w:val="00E311CB"/>
    <w:rsid w:val="00E31A57"/>
    <w:rsid w:val="00E31DCB"/>
    <w:rsid w:val="00E32EC4"/>
    <w:rsid w:val="00E33104"/>
    <w:rsid w:val="00E33748"/>
    <w:rsid w:val="00E3397A"/>
    <w:rsid w:val="00E33D62"/>
    <w:rsid w:val="00E33DFB"/>
    <w:rsid w:val="00E348A0"/>
    <w:rsid w:val="00E34BB5"/>
    <w:rsid w:val="00E35AE3"/>
    <w:rsid w:val="00E3681E"/>
    <w:rsid w:val="00E37A59"/>
    <w:rsid w:val="00E40348"/>
    <w:rsid w:val="00E409E4"/>
    <w:rsid w:val="00E415F2"/>
    <w:rsid w:val="00E41FB4"/>
    <w:rsid w:val="00E44559"/>
    <w:rsid w:val="00E469E9"/>
    <w:rsid w:val="00E512DE"/>
    <w:rsid w:val="00E5238C"/>
    <w:rsid w:val="00E534C7"/>
    <w:rsid w:val="00E5371F"/>
    <w:rsid w:val="00E53B16"/>
    <w:rsid w:val="00E546B4"/>
    <w:rsid w:val="00E548D7"/>
    <w:rsid w:val="00E54F7B"/>
    <w:rsid w:val="00E5558E"/>
    <w:rsid w:val="00E56904"/>
    <w:rsid w:val="00E57CEE"/>
    <w:rsid w:val="00E57D1B"/>
    <w:rsid w:val="00E57EC1"/>
    <w:rsid w:val="00E6147B"/>
    <w:rsid w:val="00E61B20"/>
    <w:rsid w:val="00E61E3D"/>
    <w:rsid w:val="00E620FA"/>
    <w:rsid w:val="00E624DF"/>
    <w:rsid w:val="00E632D4"/>
    <w:rsid w:val="00E64582"/>
    <w:rsid w:val="00E6579D"/>
    <w:rsid w:val="00E664B7"/>
    <w:rsid w:val="00E70A9F"/>
    <w:rsid w:val="00E7105F"/>
    <w:rsid w:val="00E7115D"/>
    <w:rsid w:val="00E713C3"/>
    <w:rsid w:val="00E71438"/>
    <w:rsid w:val="00E72A13"/>
    <w:rsid w:val="00E72D47"/>
    <w:rsid w:val="00E738AA"/>
    <w:rsid w:val="00E739BE"/>
    <w:rsid w:val="00E7470F"/>
    <w:rsid w:val="00E7483B"/>
    <w:rsid w:val="00E74AEE"/>
    <w:rsid w:val="00E75C9D"/>
    <w:rsid w:val="00E76092"/>
    <w:rsid w:val="00E76441"/>
    <w:rsid w:val="00E76EBB"/>
    <w:rsid w:val="00E77141"/>
    <w:rsid w:val="00E80911"/>
    <w:rsid w:val="00E81253"/>
    <w:rsid w:val="00E822B1"/>
    <w:rsid w:val="00E826D5"/>
    <w:rsid w:val="00E8273B"/>
    <w:rsid w:val="00E8394A"/>
    <w:rsid w:val="00E849EA"/>
    <w:rsid w:val="00E85DA7"/>
    <w:rsid w:val="00E85E4A"/>
    <w:rsid w:val="00E8622F"/>
    <w:rsid w:val="00E868D2"/>
    <w:rsid w:val="00E878B4"/>
    <w:rsid w:val="00E87B47"/>
    <w:rsid w:val="00E90D82"/>
    <w:rsid w:val="00E911AB"/>
    <w:rsid w:val="00E9175E"/>
    <w:rsid w:val="00E92528"/>
    <w:rsid w:val="00E92B93"/>
    <w:rsid w:val="00E92EE2"/>
    <w:rsid w:val="00E93361"/>
    <w:rsid w:val="00E93836"/>
    <w:rsid w:val="00E93893"/>
    <w:rsid w:val="00E93CEF"/>
    <w:rsid w:val="00E93EDA"/>
    <w:rsid w:val="00E94886"/>
    <w:rsid w:val="00E94F43"/>
    <w:rsid w:val="00E95522"/>
    <w:rsid w:val="00E96091"/>
    <w:rsid w:val="00E96139"/>
    <w:rsid w:val="00E97544"/>
    <w:rsid w:val="00E97D5B"/>
    <w:rsid w:val="00EA09F7"/>
    <w:rsid w:val="00EA15EB"/>
    <w:rsid w:val="00EA173F"/>
    <w:rsid w:val="00EA19F5"/>
    <w:rsid w:val="00EA2499"/>
    <w:rsid w:val="00EA3128"/>
    <w:rsid w:val="00EA31BE"/>
    <w:rsid w:val="00EA3A8D"/>
    <w:rsid w:val="00EA424B"/>
    <w:rsid w:val="00EA4DE3"/>
    <w:rsid w:val="00EA55D3"/>
    <w:rsid w:val="00EA5A16"/>
    <w:rsid w:val="00EA6B9A"/>
    <w:rsid w:val="00EA7384"/>
    <w:rsid w:val="00EA75AE"/>
    <w:rsid w:val="00EA75F0"/>
    <w:rsid w:val="00EA7932"/>
    <w:rsid w:val="00EB0389"/>
    <w:rsid w:val="00EB0876"/>
    <w:rsid w:val="00EB0902"/>
    <w:rsid w:val="00EB0F4E"/>
    <w:rsid w:val="00EB1592"/>
    <w:rsid w:val="00EB2696"/>
    <w:rsid w:val="00EB43F8"/>
    <w:rsid w:val="00EB481E"/>
    <w:rsid w:val="00EB4B6D"/>
    <w:rsid w:val="00EB5F7F"/>
    <w:rsid w:val="00EB5FFD"/>
    <w:rsid w:val="00EB6BDA"/>
    <w:rsid w:val="00EB79E4"/>
    <w:rsid w:val="00EB7ACC"/>
    <w:rsid w:val="00EB7E73"/>
    <w:rsid w:val="00EC1655"/>
    <w:rsid w:val="00EC1C87"/>
    <w:rsid w:val="00EC2583"/>
    <w:rsid w:val="00EC2850"/>
    <w:rsid w:val="00EC2E64"/>
    <w:rsid w:val="00EC3101"/>
    <w:rsid w:val="00EC3604"/>
    <w:rsid w:val="00EC3A12"/>
    <w:rsid w:val="00EC48A5"/>
    <w:rsid w:val="00EC4D6A"/>
    <w:rsid w:val="00EC4E7F"/>
    <w:rsid w:val="00EC5DA2"/>
    <w:rsid w:val="00EC5F15"/>
    <w:rsid w:val="00EC64FC"/>
    <w:rsid w:val="00EC6F32"/>
    <w:rsid w:val="00EC77A0"/>
    <w:rsid w:val="00EC7F3F"/>
    <w:rsid w:val="00ED0C17"/>
    <w:rsid w:val="00ED2184"/>
    <w:rsid w:val="00ED2979"/>
    <w:rsid w:val="00ED313F"/>
    <w:rsid w:val="00ED3A38"/>
    <w:rsid w:val="00ED40B3"/>
    <w:rsid w:val="00ED51C2"/>
    <w:rsid w:val="00ED5B3F"/>
    <w:rsid w:val="00ED63C3"/>
    <w:rsid w:val="00ED6D96"/>
    <w:rsid w:val="00ED7E06"/>
    <w:rsid w:val="00ED7E20"/>
    <w:rsid w:val="00EE026D"/>
    <w:rsid w:val="00EE02EF"/>
    <w:rsid w:val="00EE0649"/>
    <w:rsid w:val="00EE1153"/>
    <w:rsid w:val="00EE13D9"/>
    <w:rsid w:val="00EE1CFA"/>
    <w:rsid w:val="00EE3235"/>
    <w:rsid w:val="00EE3E5C"/>
    <w:rsid w:val="00EE44B1"/>
    <w:rsid w:val="00EE4D42"/>
    <w:rsid w:val="00EE4E17"/>
    <w:rsid w:val="00EE61F5"/>
    <w:rsid w:val="00EE650E"/>
    <w:rsid w:val="00EE68D0"/>
    <w:rsid w:val="00EE6F6E"/>
    <w:rsid w:val="00EE78BE"/>
    <w:rsid w:val="00EF05E4"/>
    <w:rsid w:val="00EF0F16"/>
    <w:rsid w:val="00EF1B5E"/>
    <w:rsid w:val="00EF2928"/>
    <w:rsid w:val="00EF3025"/>
    <w:rsid w:val="00EF592D"/>
    <w:rsid w:val="00EF664B"/>
    <w:rsid w:val="00EF6873"/>
    <w:rsid w:val="00EF68D4"/>
    <w:rsid w:val="00EF7BEB"/>
    <w:rsid w:val="00F00735"/>
    <w:rsid w:val="00F0274E"/>
    <w:rsid w:val="00F027B9"/>
    <w:rsid w:val="00F02BAD"/>
    <w:rsid w:val="00F02EFE"/>
    <w:rsid w:val="00F054ED"/>
    <w:rsid w:val="00F05980"/>
    <w:rsid w:val="00F076B6"/>
    <w:rsid w:val="00F10841"/>
    <w:rsid w:val="00F1097A"/>
    <w:rsid w:val="00F10EEB"/>
    <w:rsid w:val="00F11217"/>
    <w:rsid w:val="00F12A70"/>
    <w:rsid w:val="00F13F06"/>
    <w:rsid w:val="00F1463D"/>
    <w:rsid w:val="00F15F7C"/>
    <w:rsid w:val="00F16AB9"/>
    <w:rsid w:val="00F17069"/>
    <w:rsid w:val="00F179E5"/>
    <w:rsid w:val="00F17C4C"/>
    <w:rsid w:val="00F20347"/>
    <w:rsid w:val="00F209DB"/>
    <w:rsid w:val="00F236C0"/>
    <w:rsid w:val="00F23962"/>
    <w:rsid w:val="00F251CA"/>
    <w:rsid w:val="00F260F4"/>
    <w:rsid w:val="00F26CFE"/>
    <w:rsid w:val="00F312D5"/>
    <w:rsid w:val="00F31368"/>
    <w:rsid w:val="00F3193C"/>
    <w:rsid w:val="00F31D49"/>
    <w:rsid w:val="00F32572"/>
    <w:rsid w:val="00F326CC"/>
    <w:rsid w:val="00F329A0"/>
    <w:rsid w:val="00F33400"/>
    <w:rsid w:val="00F33881"/>
    <w:rsid w:val="00F33A01"/>
    <w:rsid w:val="00F33B54"/>
    <w:rsid w:val="00F34530"/>
    <w:rsid w:val="00F34B74"/>
    <w:rsid w:val="00F34BC9"/>
    <w:rsid w:val="00F34C6A"/>
    <w:rsid w:val="00F34E02"/>
    <w:rsid w:val="00F36351"/>
    <w:rsid w:val="00F36CA0"/>
    <w:rsid w:val="00F372C8"/>
    <w:rsid w:val="00F37C45"/>
    <w:rsid w:val="00F41009"/>
    <w:rsid w:val="00F44C20"/>
    <w:rsid w:val="00F44D5D"/>
    <w:rsid w:val="00F44D96"/>
    <w:rsid w:val="00F44FDF"/>
    <w:rsid w:val="00F4642B"/>
    <w:rsid w:val="00F469F3"/>
    <w:rsid w:val="00F46EB1"/>
    <w:rsid w:val="00F47C5F"/>
    <w:rsid w:val="00F50B66"/>
    <w:rsid w:val="00F512AA"/>
    <w:rsid w:val="00F5247F"/>
    <w:rsid w:val="00F5402C"/>
    <w:rsid w:val="00F55B3D"/>
    <w:rsid w:val="00F55D07"/>
    <w:rsid w:val="00F571A3"/>
    <w:rsid w:val="00F5729B"/>
    <w:rsid w:val="00F57453"/>
    <w:rsid w:val="00F57C02"/>
    <w:rsid w:val="00F60502"/>
    <w:rsid w:val="00F60A54"/>
    <w:rsid w:val="00F617A1"/>
    <w:rsid w:val="00F62527"/>
    <w:rsid w:val="00F6255D"/>
    <w:rsid w:val="00F626D0"/>
    <w:rsid w:val="00F638D8"/>
    <w:rsid w:val="00F63D29"/>
    <w:rsid w:val="00F650A1"/>
    <w:rsid w:val="00F654E8"/>
    <w:rsid w:val="00F656CC"/>
    <w:rsid w:val="00F6652F"/>
    <w:rsid w:val="00F66BBF"/>
    <w:rsid w:val="00F70BAD"/>
    <w:rsid w:val="00F71CA2"/>
    <w:rsid w:val="00F730D3"/>
    <w:rsid w:val="00F735F4"/>
    <w:rsid w:val="00F7381A"/>
    <w:rsid w:val="00F7388F"/>
    <w:rsid w:val="00F74688"/>
    <w:rsid w:val="00F7523A"/>
    <w:rsid w:val="00F765BB"/>
    <w:rsid w:val="00F76836"/>
    <w:rsid w:val="00F76FB2"/>
    <w:rsid w:val="00F77E86"/>
    <w:rsid w:val="00F80710"/>
    <w:rsid w:val="00F81334"/>
    <w:rsid w:val="00F81342"/>
    <w:rsid w:val="00F8138A"/>
    <w:rsid w:val="00F82C51"/>
    <w:rsid w:val="00F84276"/>
    <w:rsid w:val="00F8561A"/>
    <w:rsid w:val="00F90128"/>
    <w:rsid w:val="00F906F8"/>
    <w:rsid w:val="00F90979"/>
    <w:rsid w:val="00F915E2"/>
    <w:rsid w:val="00F91A5D"/>
    <w:rsid w:val="00F92218"/>
    <w:rsid w:val="00F93353"/>
    <w:rsid w:val="00F94CB4"/>
    <w:rsid w:val="00F95371"/>
    <w:rsid w:val="00F9584F"/>
    <w:rsid w:val="00F96113"/>
    <w:rsid w:val="00F965F1"/>
    <w:rsid w:val="00F97A11"/>
    <w:rsid w:val="00FA0446"/>
    <w:rsid w:val="00FA0C17"/>
    <w:rsid w:val="00FA1E5C"/>
    <w:rsid w:val="00FA2355"/>
    <w:rsid w:val="00FA2C03"/>
    <w:rsid w:val="00FA2CB0"/>
    <w:rsid w:val="00FA34A4"/>
    <w:rsid w:val="00FA3522"/>
    <w:rsid w:val="00FA353D"/>
    <w:rsid w:val="00FA38B4"/>
    <w:rsid w:val="00FA3AEF"/>
    <w:rsid w:val="00FA3EDA"/>
    <w:rsid w:val="00FA594E"/>
    <w:rsid w:val="00FA66F4"/>
    <w:rsid w:val="00FB1C1E"/>
    <w:rsid w:val="00FB28E3"/>
    <w:rsid w:val="00FB2D6A"/>
    <w:rsid w:val="00FB2FE4"/>
    <w:rsid w:val="00FB3CAA"/>
    <w:rsid w:val="00FB540F"/>
    <w:rsid w:val="00FB5E03"/>
    <w:rsid w:val="00FB5EA4"/>
    <w:rsid w:val="00FB7E36"/>
    <w:rsid w:val="00FC0258"/>
    <w:rsid w:val="00FC2CFA"/>
    <w:rsid w:val="00FC31A1"/>
    <w:rsid w:val="00FC3E94"/>
    <w:rsid w:val="00FC451A"/>
    <w:rsid w:val="00FC47E5"/>
    <w:rsid w:val="00FC5057"/>
    <w:rsid w:val="00FC5247"/>
    <w:rsid w:val="00FC54C6"/>
    <w:rsid w:val="00FC5C5F"/>
    <w:rsid w:val="00FC7E2F"/>
    <w:rsid w:val="00FD15DB"/>
    <w:rsid w:val="00FD1E5A"/>
    <w:rsid w:val="00FD2215"/>
    <w:rsid w:val="00FD2EBA"/>
    <w:rsid w:val="00FD370F"/>
    <w:rsid w:val="00FD37BC"/>
    <w:rsid w:val="00FD4970"/>
    <w:rsid w:val="00FD4CA4"/>
    <w:rsid w:val="00FD5C20"/>
    <w:rsid w:val="00FD615E"/>
    <w:rsid w:val="00FD61FD"/>
    <w:rsid w:val="00FD6268"/>
    <w:rsid w:val="00FD6669"/>
    <w:rsid w:val="00FD7138"/>
    <w:rsid w:val="00FD7AD3"/>
    <w:rsid w:val="00FD7C6F"/>
    <w:rsid w:val="00FE10AC"/>
    <w:rsid w:val="00FE2290"/>
    <w:rsid w:val="00FE2B03"/>
    <w:rsid w:val="00FE2B5C"/>
    <w:rsid w:val="00FE3258"/>
    <w:rsid w:val="00FE6276"/>
    <w:rsid w:val="00FE6B12"/>
    <w:rsid w:val="00FE7F95"/>
    <w:rsid w:val="00FF0CC9"/>
    <w:rsid w:val="00FF0F9B"/>
    <w:rsid w:val="00FF22D5"/>
    <w:rsid w:val="00FF490C"/>
    <w:rsid w:val="00FF4B9A"/>
    <w:rsid w:val="00FF6A3A"/>
    <w:rsid w:val="00FF7986"/>
    <w:rsid w:val="00FF7B76"/>
    <w:rsid w:val="010C2C96"/>
    <w:rsid w:val="010C5046"/>
    <w:rsid w:val="010D671E"/>
    <w:rsid w:val="01124840"/>
    <w:rsid w:val="011C1FFB"/>
    <w:rsid w:val="011F1DB8"/>
    <w:rsid w:val="012B351C"/>
    <w:rsid w:val="012D7A79"/>
    <w:rsid w:val="013E35E1"/>
    <w:rsid w:val="016844A4"/>
    <w:rsid w:val="01724F7C"/>
    <w:rsid w:val="01785C2C"/>
    <w:rsid w:val="017A034A"/>
    <w:rsid w:val="01800DA6"/>
    <w:rsid w:val="018F0ADB"/>
    <w:rsid w:val="01911169"/>
    <w:rsid w:val="01934424"/>
    <w:rsid w:val="01936D79"/>
    <w:rsid w:val="01982A7C"/>
    <w:rsid w:val="019A1914"/>
    <w:rsid w:val="019B1A9C"/>
    <w:rsid w:val="019E7BD8"/>
    <w:rsid w:val="01AA0068"/>
    <w:rsid w:val="01B862EF"/>
    <w:rsid w:val="01C20A07"/>
    <w:rsid w:val="01D34206"/>
    <w:rsid w:val="01DF1969"/>
    <w:rsid w:val="01E17DC1"/>
    <w:rsid w:val="01EB1997"/>
    <w:rsid w:val="01ED7119"/>
    <w:rsid w:val="01F80CAB"/>
    <w:rsid w:val="0206558C"/>
    <w:rsid w:val="021C6DDB"/>
    <w:rsid w:val="021D78AB"/>
    <w:rsid w:val="02200B7B"/>
    <w:rsid w:val="022210FA"/>
    <w:rsid w:val="024C066E"/>
    <w:rsid w:val="024F27D3"/>
    <w:rsid w:val="025F20F0"/>
    <w:rsid w:val="02692B30"/>
    <w:rsid w:val="026A644A"/>
    <w:rsid w:val="027C7864"/>
    <w:rsid w:val="02951F19"/>
    <w:rsid w:val="02A036F5"/>
    <w:rsid w:val="02B611E1"/>
    <w:rsid w:val="02B77957"/>
    <w:rsid w:val="02BB0734"/>
    <w:rsid w:val="02C42214"/>
    <w:rsid w:val="02CC6CBE"/>
    <w:rsid w:val="02CD5A24"/>
    <w:rsid w:val="02D25939"/>
    <w:rsid w:val="02DA3C5B"/>
    <w:rsid w:val="02E57F58"/>
    <w:rsid w:val="02E70BC8"/>
    <w:rsid w:val="03024A00"/>
    <w:rsid w:val="03032339"/>
    <w:rsid w:val="030625CB"/>
    <w:rsid w:val="030C6F29"/>
    <w:rsid w:val="030D1D2D"/>
    <w:rsid w:val="0320730B"/>
    <w:rsid w:val="03245DFE"/>
    <w:rsid w:val="032E6D36"/>
    <w:rsid w:val="03344220"/>
    <w:rsid w:val="033928D2"/>
    <w:rsid w:val="03625B00"/>
    <w:rsid w:val="03656611"/>
    <w:rsid w:val="03666FB7"/>
    <w:rsid w:val="0369412B"/>
    <w:rsid w:val="036D6BA3"/>
    <w:rsid w:val="037736BF"/>
    <w:rsid w:val="0388753D"/>
    <w:rsid w:val="03AC26DB"/>
    <w:rsid w:val="03BA4347"/>
    <w:rsid w:val="03BB37B6"/>
    <w:rsid w:val="03CA3BF8"/>
    <w:rsid w:val="03D06CE8"/>
    <w:rsid w:val="03D3487F"/>
    <w:rsid w:val="03DA050F"/>
    <w:rsid w:val="03DA551E"/>
    <w:rsid w:val="03E1434F"/>
    <w:rsid w:val="03E24779"/>
    <w:rsid w:val="04031645"/>
    <w:rsid w:val="040A1064"/>
    <w:rsid w:val="04123DBD"/>
    <w:rsid w:val="0415791F"/>
    <w:rsid w:val="04247E93"/>
    <w:rsid w:val="042D4BCA"/>
    <w:rsid w:val="0438233B"/>
    <w:rsid w:val="04415975"/>
    <w:rsid w:val="04422EA4"/>
    <w:rsid w:val="04453FA6"/>
    <w:rsid w:val="044E7BAF"/>
    <w:rsid w:val="045654C5"/>
    <w:rsid w:val="045841FB"/>
    <w:rsid w:val="04635E28"/>
    <w:rsid w:val="046E0340"/>
    <w:rsid w:val="0470433C"/>
    <w:rsid w:val="04795398"/>
    <w:rsid w:val="047D3A77"/>
    <w:rsid w:val="047E4E8C"/>
    <w:rsid w:val="04803760"/>
    <w:rsid w:val="048250A5"/>
    <w:rsid w:val="04965B36"/>
    <w:rsid w:val="04AC5A06"/>
    <w:rsid w:val="04AE7343"/>
    <w:rsid w:val="04B90BB3"/>
    <w:rsid w:val="04C4109A"/>
    <w:rsid w:val="04D26CFA"/>
    <w:rsid w:val="04E847E3"/>
    <w:rsid w:val="04F03E4C"/>
    <w:rsid w:val="04F964FE"/>
    <w:rsid w:val="050F0C3B"/>
    <w:rsid w:val="051038C0"/>
    <w:rsid w:val="05130A9A"/>
    <w:rsid w:val="05202CD7"/>
    <w:rsid w:val="05241B93"/>
    <w:rsid w:val="052622F5"/>
    <w:rsid w:val="05284567"/>
    <w:rsid w:val="052E0C6F"/>
    <w:rsid w:val="052E677A"/>
    <w:rsid w:val="05320B7C"/>
    <w:rsid w:val="053467E6"/>
    <w:rsid w:val="0537577B"/>
    <w:rsid w:val="05407004"/>
    <w:rsid w:val="055968F8"/>
    <w:rsid w:val="055E2363"/>
    <w:rsid w:val="055E6FD1"/>
    <w:rsid w:val="056475CC"/>
    <w:rsid w:val="05656253"/>
    <w:rsid w:val="05711383"/>
    <w:rsid w:val="057920E8"/>
    <w:rsid w:val="057A271D"/>
    <w:rsid w:val="05940E2A"/>
    <w:rsid w:val="05994192"/>
    <w:rsid w:val="059F4AC3"/>
    <w:rsid w:val="05A31D76"/>
    <w:rsid w:val="05AD247A"/>
    <w:rsid w:val="05B56345"/>
    <w:rsid w:val="05BE291C"/>
    <w:rsid w:val="05C41C5F"/>
    <w:rsid w:val="05C575C9"/>
    <w:rsid w:val="05C96DAF"/>
    <w:rsid w:val="05CB0777"/>
    <w:rsid w:val="05D53D9D"/>
    <w:rsid w:val="05D64790"/>
    <w:rsid w:val="05D86F60"/>
    <w:rsid w:val="05DA39A6"/>
    <w:rsid w:val="05E1417C"/>
    <w:rsid w:val="05EF05A3"/>
    <w:rsid w:val="05F02461"/>
    <w:rsid w:val="05F42BDE"/>
    <w:rsid w:val="05FC2CC6"/>
    <w:rsid w:val="05FD34E9"/>
    <w:rsid w:val="060E60F1"/>
    <w:rsid w:val="06151530"/>
    <w:rsid w:val="061E78E4"/>
    <w:rsid w:val="062524A0"/>
    <w:rsid w:val="062C1339"/>
    <w:rsid w:val="06396C2F"/>
    <w:rsid w:val="063B7194"/>
    <w:rsid w:val="06414FF3"/>
    <w:rsid w:val="064266BC"/>
    <w:rsid w:val="06496457"/>
    <w:rsid w:val="064A03A8"/>
    <w:rsid w:val="0655713A"/>
    <w:rsid w:val="06625D2A"/>
    <w:rsid w:val="06637860"/>
    <w:rsid w:val="06651536"/>
    <w:rsid w:val="066E6FEA"/>
    <w:rsid w:val="067C1790"/>
    <w:rsid w:val="067D6DB8"/>
    <w:rsid w:val="069271F5"/>
    <w:rsid w:val="06984400"/>
    <w:rsid w:val="06A74C05"/>
    <w:rsid w:val="06B4093A"/>
    <w:rsid w:val="06B44875"/>
    <w:rsid w:val="06C34D8E"/>
    <w:rsid w:val="06D020E0"/>
    <w:rsid w:val="06ED199B"/>
    <w:rsid w:val="06EE4389"/>
    <w:rsid w:val="06EF716D"/>
    <w:rsid w:val="07010286"/>
    <w:rsid w:val="070241E9"/>
    <w:rsid w:val="07106769"/>
    <w:rsid w:val="071A4087"/>
    <w:rsid w:val="071B04B1"/>
    <w:rsid w:val="07203EF1"/>
    <w:rsid w:val="073D0D2B"/>
    <w:rsid w:val="0746707F"/>
    <w:rsid w:val="074B37DE"/>
    <w:rsid w:val="07525D62"/>
    <w:rsid w:val="075F4260"/>
    <w:rsid w:val="076F68F3"/>
    <w:rsid w:val="078134DF"/>
    <w:rsid w:val="07882FBE"/>
    <w:rsid w:val="078B6222"/>
    <w:rsid w:val="079727D2"/>
    <w:rsid w:val="079F7CA9"/>
    <w:rsid w:val="07A1167C"/>
    <w:rsid w:val="07AE108C"/>
    <w:rsid w:val="07B27B3D"/>
    <w:rsid w:val="07BA4CCA"/>
    <w:rsid w:val="07C210D3"/>
    <w:rsid w:val="07C43646"/>
    <w:rsid w:val="07D17825"/>
    <w:rsid w:val="07D46474"/>
    <w:rsid w:val="07D820AC"/>
    <w:rsid w:val="07F60E79"/>
    <w:rsid w:val="08086439"/>
    <w:rsid w:val="0810594A"/>
    <w:rsid w:val="081348AE"/>
    <w:rsid w:val="081B6711"/>
    <w:rsid w:val="081E5651"/>
    <w:rsid w:val="083539DF"/>
    <w:rsid w:val="084D1E2B"/>
    <w:rsid w:val="08547508"/>
    <w:rsid w:val="08615E14"/>
    <w:rsid w:val="088A0187"/>
    <w:rsid w:val="08920B41"/>
    <w:rsid w:val="08931EB9"/>
    <w:rsid w:val="08B46DEE"/>
    <w:rsid w:val="08BE644F"/>
    <w:rsid w:val="08BF6A3F"/>
    <w:rsid w:val="08CD18C2"/>
    <w:rsid w:val="08D67A04"/>
    <w:rsid w:val="08DB1649"/>
    <w:rsid w:val="08DE7603"/>
    <w:rsid w:val="08E01623"/>
    <w:rsid w:val="08F911E2"/>
    <w:rsid w:val="08FD1E49"/>
    <w:rsid w:val="090066FB"/>
    <w:rsid w:val="09193480"/>
    <w:rsid w:val="092903B1"/>
    <w:rsid w:val="09392DE8"/>
    <w:rsid w:val="094132CB"/>
    <w:rsid w:val="09564770"/>
    <w:rsid w:val="095E1A3B"/>
    <w:rsid w:val="095F2523"/>
    <w:rsid w:val="096C6A74"/>
    <w:rsid w:val="09712142"/>
    <w:rsid w:val="0976107E"/>
    <w:rsid w:val="09772C47"/>
    <w:rsid w:val="09865AC0"/>
    <w:rsid w:val="0987783C"/>
    <w:rsid w:val="098D4755"/>
    <w:rsid w:val="09941D3F"/>
    <w:rsid w:val="09942912"/>
    <w:rsid w:val="099D6E4D"/>
    <w:rsid w:val="09A3442B"/>
    <w:rsid w:val="09A9376A"/>
    <w:rsid w:val="09AE11F7"/>
    <w:rsid w:val="09B84622"/>
    <w:rsid w:val="09B96184"/>
    <w:rsid w:val="09C45552"/>
    <w:rsid w:val="09CE177B"/>
    <w:rsid w:val="09D443EF"/>
    <w:rsid w:val="09DA3055"/>
    <w:rsid w:val="09DB293D"/>
    <w:rsid w:val="09E52755"/>
    <w:rsid w:val="09EA6024"/>
    <w:rsid w:val="09FB48BE"/>
    <w:rsid w:val="0A017F6F"/>
    <w:rsid w:val="0A0D7F05"/>
    <w:rsid w:val="0A2E2DC6"/>
    <w:rsid w:val="0A2F05B8"/>
    <w:rsid w:val="0A2F6943"/>
    <w:rsid w:val="0A310D95"/>
    <w:rsid w:val="0A442F3E"/>
    <w:rsid w:val="0A502B2D"/>
    <w:rsid w:val="0A5B02BB"/>
    <w:rsid w:val="0A6527F0"/>
    <w:rsid w:val="0A67309C"/>
    <w:rsid w:val="0A6A061B"/>
    <w:rsid w:val="0A6C53BD"/>
    <w:rsid w:val="0A7026DC"/>
    <w:rsid w:val="0A7D6CA0"/>
    <w:rsid w:val="0A91410C"/>
    <w:rsid w:val="0A9F4449"/>
    <w:rsid w:val="0AAB1C3E"/>
    <w:rsid w:val="0AAD6510"/>
    <w:rsid w:val="0AB03822"/>
    <w:rsid w:val="0AB511CC"/>
    <w:rsid w:val="0AD1042D"/>
    <w:rsid w:val="0AD211EC"/>
    <w:rsid w:val="0AD52C15"/>
    <w:rsid w:val="0AFF7223"/>
    <w:rsid w:val="0B03303B"/>
    <w:rsid w:val="0B177AE4"/>
    <w:rsid w:val="0B1E1622"/>
    <w:rsid w:val="0B1E4234"/>
    <w:rsid w:val="0B210FF4"/>
    <w:rsid w:val="0B214EC8"/>
    <w:rsid w:val="0B3F1892"/>
    <w:rsid w:val="0B4006EC"/>
    <w:rsid w:val="0B4C4CA4"/>
    <w:rsid w:val="0B4C67B5"/>
    <w:rsid w:val="0B5625FF"/>
    <w:rsid w:val="0B5C0F89"/>
    <w:rsid w:val="0B5C2E5A"/>
    <w:rsid w:val="0B671C59"/>
    <w:rsid w:val="0B6A2060"/>
    <w:rsid w:val="0B6D7F8B"/>
    <w:rsid w:val="0B7456C3"/>
    <w:rsid w:val="0B825193"/>
    <w:rsid w:val="0B8437E7"/>
    <w:rsid w:val="0B844680"/>
    <w:rsid w:val="0B847ED2"/>
    <w:rsid w:val="0B8D3582"/>
    <w:rsid w:val="0B9B252E"/>
    <w:rsid w:val="0BA31615"/>
    <w:rsid w:val="0BA86BCF"/>
    <w:rsid w:val="0BC504C7"/>
    <w:rsid w:val="0BC52D14"/>
    <w:rsid w:val="0BC6680E"/>
    <w:rsid w:val="0BD15A0C"/>
    <w:rsid w:val="0BD506F4"/>
    <w:rsid w:val="0BD654CD"/>
    <w:rsid w:val="0BE74C1A"/>
    <w:rsid w:val="0BEF058D"/>
    <w:rsid w:val="0BFB2986"/>
    <w:rsid w:val="0BFD70B9"/>
    <w:rsid w:val="0C010F49"/>
    <w:rsid w:val="0C0254AB"/>
    <w:rsid w:val="0C0517F8"/>
    <w:rsid w:val="0C0C7624"/>
    <w:rsid w:val="0C260DF1"/>
    <w:rsid w:val="0C354CA2"/>
    <w:rsid w:val="0C3A499F"/>
    <w:rsid w:val="0C3C1277"/>
    <w:rsid w:val="0C3F652C"/>
    <w:rsid w:val="0C5B1651"/>
    <w:rsid w:val="0C6A2581"/>
    <w:rsid w:val="0C6C1A7E"/>
    <w:rsid w:val="0C7E1018"/>
    <w:rsid w:val="0C7F2301"/>
    <w:rsid w:val="0C7F6489"/>
    <w:rsid w:val="0C815E9E"/>
    <w:rsid w:val="0C981DBF"/>
    <w:rsid w:val="0C984295"/>
    <w:rsid w:val="0CAE3418"/>
    <w:rsid w:val="0CBB578A"/>
    <w:rsid w:val="0CD342C0"/>
    <w:rsid w:val="0CD636EC"/>
    <w:rsid w:val="0CE72916"/>
    <w:rsid w:val="0CF7154E"/>
    <w:rsid w:val="0D0F45AD"/>
    <w:rsid w:val="0D2248EA"/>
    <w:rsid w:val="0D3A4CFC"/>
    <w:rsid w:val="0D3F0D33"/>
    <w:rsid w:val="0D401645"/>
    <w:rsid w:val="0D49074A"/>
    <w:rsid w:val="0D5C24F9"/>
    <w:rsid w:val="0D6F127E"/>
    <w:rsid w:val="0D777DEE"/>
    <w:rsid w:val="0D78660A"/>
    <w:rsid w:val="0D7B7804"/>
    <w:rsid w:val="0D8205BD"/>
    <w:rsid w:val="0D8E2736"/>
    <w:rsid w:val="0D96460F"/>
    <w:rsid w:val="0D9C6CDB"/>
    <w:rsid w:val="0DAE7784"/>
    <w:rsid w:val="0DB86A13"/>
    <w:rsid w:val="0DBB3214"/>
    <w:rsid w:val="0DC71A36"/>
    <w:rsid w:val="0DCB220A"/>
    <w:rsid w:val="0DE30F5D"/>
    <w:rsid w:val="0DF70178"/>
    <w:rsid w:val="0E014504"/>
    <w:rsid w:val="0E1171EA"/>
    <w:rsid w:val="0E176264"/>
    <w:rsid w:val="0E4168D4"/>
    <w:rsid w:val="0E44065A"/>
    <w:rsid w:val="0E486F1E"/>
    <w:rsid w:val="0E4A6C28"/>
    <w:rsid w:val="0E4D0134"/>
    <w:rsid w:val="0E50142D"/>
    <w:rsid w:val="0E65495E"/>
    <w:rsid w:val="0E6F26FB"/>
    <w:rsid w:val="0E740ECE"/>
    <w:rsid w:val="0E7C070E"/>
    <w:rsid w:val="0E7D4BB9"/>
    <w:rsid w:val="0E836F21"/>
    <w:rsid w:val="0E85455D"/>
    <w:rsid w:val="0E913E6E"/>
    <w:rsid w:val="0E973A69"/>
    <w:rsid w:val="0E981D86"/>
    <w:rsid w:val="0E9822E8"/>
    <w:rsid w:val="0E997FE5"/>
    <w:rsid w:val="0E9F5CF3"/>
    <w:rsid w:val="0EA65EF1"/>
    <w:rsid w:val="0EAB581F"/>
    <w:rsid w:val="0EB01965"/>
    <w:rsid w:val="0EB633D9"/>
    <w:rsid w:val="0EBC4089"/>
    <w:rsid w:val="0EC224D5"/>
    <w:rsid w:val="0EC40DCA"/>
    <w:rsid w:val="0EC55BF5"/>
    <w:rsid w:val="0ED25BA6"/>
    <w:rsid w:val="0ED472D6"/>
    <w:rsid w:val="0EDF4E7C"/>
    <w:rsid w:val="0EDF78EC"/>
    <w:rsid w:val="0EE44596"/>
    <w:rsid w:val="0EF04C39"/>
    <w:rsid w:val="0EF331DC"/>
    <w:rsid w:val="0F23590D"/>
    <w:rsid w:val="0F2C41CE"/>
    <w:rsid w:val="0F3B100B"/>
    <w:rsid w:val="0F413A6B"/>
    <w:rsid w:val="0F511440"/>
    <w:rsid w:val="0F597D2B"/>
    <w:rsid w:val="0F6B69E6"/>
    <w:rsid w:val="0F6D453B"/>
    <w:rsid w:val="0F700740"/>
    <w:rsid w:val="0F784778"/>
    <w:rsid w:val="0F810E9F"/>
    <w:rsid w:val="0F89215E"/>
    <w:rsid w:val="0F9C4063"/>
    <w:rsid w:val="0FAB1E67"/>
    <w:rsid w:val="0FB77A13"/>
    <w:rsid w:val="0FBC57C0"/>
    <w:rsid w:val="0FBD7320"/>
    <w:rsid w:val="0FBE40CD"/>
    <w:rsid w:val="0FC47161"/>
    <w:rsid w:val="0FCC07F4"/>
    <w:rsid w:val="0FCE48F6"/>
    <w:rsid w:val="0FDD7C8F"/>
    <w:rsid w:val="0FE25E26"/>
    <w:rsid w:val="0FF124F0"/>
    <w:rsid w:val="0FF27C75"/>
    <w:rsid w:val="0FF51B44"/>
    <w:rsid w:val="0FFA769E"/>
    <w:rsid w:val="0FFD3763"/>
    <w:rsid w:val="0FFD7E18"/>
    <w:rsid w:val="0FFE2D95"/>
    <w:rsid w:val="100A2A84"/>
    <w:rsid w:val="1015521C"/>
    <w:rsid w:val="10190390"/>
    <w:rsid w:val="1024738C"/>
    <w:rsid w:val="103074A4"/>
    <w:rsid w:val="103E26EE"/>
    <w:rsid w:val="10421258"/>
    <w:rsid w:val="104E2DB8"/>
    <w:rsid w:val="105D7B01"/>
    <w:rsid w:val="105F615E"/>
    <w:rsid w:val="10697481"/>
    <w:rsid w:val="10761009"/>
    <w:rsid w:val="10784A30"/>
    <w:rsid w:val="107E1D28"/>
    <w:rsid w:val="109346BA"/>
    <w:rsid w:val="109C27AC"/>
    <w:rsid w:val="10A35CFB"/>
    <w:rsid w:val="10A926B4"/>
    <w:rsid w:val="10B56169"/>
    <w:rsid w:val="10B64C68"/>
    <w:rsid w:val="10D67C00"/>
    <w:rsid w:val="10DF46E6"/>
    <w:rsid w:val="10F16032"/>
    <w:rsid w:val="10F36698"/>
    <w:rsid w:val="10F555B9"/>
    <w:rsid w:val="110847AA"/>
    <w:rsid w:val="11093E8E"/>
    <w:rsid w:val="11094750"/>
    <w:rsid w:val="110B0C32"/>
    <w:rsid w:val="110E0640"/>
    <w:rsid w:val="110E22B2"/>
    <w:rsid w:val="11166585"/>
    <w:rsid w:val="11252757"/>
    <w:rsid w:val="11381078"/>
    <w:rsid w:val="113832BD"/>
    <w:rsid w:val="1138366C"/>
    <w:rsid w:val="11386B92"/>
    <w:rsid w:val="1142142D"/>
    <w:rsid w:val="115619BD"/>
    <w:rsid w:val="11657599"/>
    <w:rsid w:val="1182367E"/>
    <w:rsid w:val="118F20F0"/>
    <w:rsid w:val="11AA141F"/>
    <w:rsid w:val="11AB3608"/>
    <w:rsid w:val="11B36E5C"/>
    <w:rsid w:val="11B63D10"/>
    <w:rsid w:val="11C03964"/>
    <w:rsid w:val="11C67F9C"/>
    <w:rsid w:val="11CA0EC8"/>
    <w:rsid w:val="11D06FB5"/>
    <w:rsid w:val="11D122C5"/>
    <w:rsid w:val="11D61453"/>
    <w:rsid w:val="11DF7916"/>
    <w:rsid w:val="11E85055"/>
    <w:rsid w:val="11EB0245"/>
    <w:rsid w:val="11EB03E8"/>
    <w:rsid w:val="11F35B9A"/>
    <w:rsid w:val="11FC5539"/>
    <w:rsid w:val="12060AC1"/>
    <w:rsid w:val="121C2365"/>
    <w:rsid w:val="121D6A8E"/>
    <w:rsid w:val="12247759"/>
    <w:rsid w:val="122A0EC2"/>
    <w:rsid w:val="122A14A8"/>
    <w:rsid w:val="122A6356"/>
    <w:rsid w:val="122F70E6"/>
    <w:rsid w:val="12353A38"/>
    <w:rsid w:val="12454595"/>
    <w:rsid w:val="124555A0"/>
    <w:rsid w:val="124F6BF8"/>
    <w:rsid w:val="12527B47"/>
    <w:rsid w:val="125604F3"/>
    <w:rsid w:val="125F5D8E"/>
    <w:rsid w:val="12727DA6"/>
    <w:rsid w:val="12731475"/>
    <w:rsid w:val="12831FD8"/>
    <w:rsid w:val="12921E76"/>
    <w:rsid w:val="12937E56"/>
    <w:rsid w:val="129505BC"/>
    <w:rsid w:val="129A23CF"/>
    <w:rsid w:val="129F7FD1"/>
    <w:rsid w:val="12A05C8E"/>
    <w:rsid w:val="12A637B6"/>
    <w:rsid w:val="12A721AB"/>
    <w:rsid w:val="12A9508B"/>
    <w:rsid w:val="12AA3981"/>
    <w:rsid w:val="12B42461"/>
    <w:rsid w:val="12B84F0D"/>
    <w:rsid w:val="12C059DF"/>
    <w:rsid w:val="12D2740C"/>
    <w:rsid w:val="12E61FC8"/>
    <w:rsid w:val="12EF12CC"/>
    <w:rsid w:val="12F50B90"/>
    <w:rsid w:val="12FC3C3E"/>
    <w:rsid w:val="130100E0"/>
    <w:rsid w:val="13025D0D"/>
    <w:rsid w:val="13096F29"/>
    <w:rsid w:val="130C5834"/>
    <w:rsid w:val="131C13A9"/>
    <w:rsid w:val="13223BB5"/>
    <w:rsid w:val="132847E3"/>
    <w:rsid w:val="133E5DF7"/>
    <w:rsid w:val="134C2116"/>
    <w:rsid w:val="13521337"/>
    <w:rsid w:val="13592639"/>
    <w:rsid w:val="135F6DFD"/>
    <w:rsid w:val="13676827"/>
    <w:rsid w:val="137B4C85"/>
    <w:rsid w:val="137F60C1"/>
    <w:rsid w:val="138D1F7C"/>
    <w:rsid w:val="13957A8B"/>
    <w:rsid w:val="1399374C"/>
    <w:rsid w:val="139C5EE1"/>
    <w:rsid w:val="139D681F"/>
    <w:rsid w:val="139F09FA"/>
    <w:rsid w:val="13A17846"/>
    <w:rsid w:val="13A609E7"/>
    <w:rsid w:val="13AD4474"/>
    <w:rsid w:val="13B1147D"/>
    <w:rsid w:val="13B4698A"/>
    <w:rsid w:val="13BD019D"/>
    <w:rsid w:val="13CE63E6"/>
    <w:rsid w:val="13E21CD1"/>
    <w:rsid w:val="13E342D2"/>
    <w:rsid w:val="13E346E1"/>
    <w:rsid w:val="13E57A43"/>
    <w:rsid w:val="13FC3E5D"/>
    <w:rsid w:val="14047949"/>
    <w:rsid w:val="140719E6"/>
    <w:rsid w:val="14093A6F"/>
    <w:rsid w:val="14266D5F"/>
    <w:rsid w:val="142733EA"/>
    <w:rsid w:val="143B2CF5"/>
    <w:rsid w:val="145A1D34"/>
    <w:rsid w:val="146042B9"/>
    <w:rsid w:val="14604F96"/>
    <w:rsid w:val="14634C74"/>
    <w:rsid w:val="14656774"/>
    <w:rsid w:val="14762D0E"/>
    <w:rsid w:val="147809E1"/>
    <w:rsid w:val="149A22F6"/>
    <w:rsid w:val="149D1367"/>
    <w:rsid w:val="149E0BD6"/>
    <w:rsid w:val="149F0103"/>
    <w:rsid w:val="14A6546F"/>
    <w:rsid w:val="14B41CB6"/>
    <w:rsid w:val="14BB16C1"/>
    <w:rsid w:val="14BC76E5"/>
    <w:rsid w:val="14BF4344"/>
    <w:rsid w:val="14C352AB"/>
    <w:rsid w:val="14C43015"/>
    <w:rsid w:val="14C72E33"/>
    <w:rsid w:val="14CD0320"/>
    <w:rsid w:val="14D14737"/>
    <w:rsid w:val="14DB56EA"/>
    <w:rsid w:val="14DC2252"/>
    <w:rsid w:val="14DD64AD"/>
    <w:rsid w:val="14E1675A"/>
    <w:rsid w:val="14E243FA"/>
    <w:rsid w:val="15000605"/>
    <w:rsid w:val="15186E7A"/>
    <w:rsid w:val="151A2CDD"/>
    <w:rsid w:val="151D5AB3"/>
    <w:rsid w:val="152B59BE"/>
    <w:rsid w:val="153C0833"/>
    <w:rsid w:val="154A78EE"/>
    <w:rsid w:val="155852D1"/>
    <w:rsid w:val="155C4C28"/>
    <w:rsid w:val="155D389D"/>
    <w:rsid w:val="156241AD"/>
    <w:rsid w:val="156E7678"/>
    <w:rsid w:val="157F5F3D"/>
    <w:rsid w:val="159A3460"/>
    <w:rsid w:val="15A518E9"/>
    <w:rsid w:val="15B266E7"/>
    <w:rsid w:val="15BD6D37"/>
    <w:rsid w:val="15C1546A"/>
    <w:rsid w:val="15CB1A43"/>
    <w:rsid w:val="15D2294C"/>
    <w:rsid w:val="15D95D02"/>
    <w:rsid w:val="15DE0CCC"/>
    <w:rsid w:val="15DE48AA"/>
    <w:rsid w:val="15E1693C"/>
    <w:rsid w:val="15F076A6"/>
    <w:rsid w:val="15F647D0"/>
    <w:rsid w:val="1600660E"/>
    <w:rsid w:val="160A5E04"/>
    <w:rsid w:val="161A12E7"/>
    <w:rsid w:val="161B6920"/>
    <w:rsid w:val="16223B81"/>
    <w:rsid w:val="16270BED"/>
    <w:rsid w:val="162E0482"/>
    <w:rsid w:val="16303C30"/>
    <w:rsid w:val="1645537C"/>
    <w:rsid w:val="165C3E93"/>
    <w:rsid w:val="165D0B20"/>
    <w:rsid w:val="165F29AD"/>
    <w:rsid w:val="16717134"/>
    <w:rsid w:val="16773DA9"/>
    <w:rsid w:val="16783169"/>
    <w:rsid w:val="167F185A"/>
    <w:rsid w:val="16833D6B"/>
    <w:rsid w:val="168827BB"/>
    <w:rsid w:val="16884A5B"/>
    <w:rsid w:val="168855BC"/>
    <w:rsid w:val="168E4861"/>
    <w:rsid w:val="16913E9D"/>
    <w:rsid w:val="16962C45"/>
    <w:rsid w:val="169D633A"/>
    <w:rsid w:val="16AF52BC"/>
    <w:rsid w:val="16C23278"/>
    <w:rsid w:val="16C3321D"/>
    <w:rsid w:val="16CA18BE"/>
    <w:rsid w:val="16D30710"/>
    <w:rsid w:val="16DE5DCD"/>
    <w:rsid w:val="16E3612D"/>
    <w:rsid w:val="16F57D88"/>
    <w:rsid w:val="1701270F"/>
    <w:rsid w:val="17190EAD"/>
    <w:rsid w:val="17233957"/>
    <w:rsid w:val="17257E6A"/>
    <w:rsid w:val="172B0CA4"/>
    <w:rsid w:val="172B431A"/>
    <w:rsid w:val="172D25D1"/>
    <w:rsid w:val="173C4F5C"/>
    <w:rsid w:val="173C59CD"/>
    <w:rsid w:val="173C6D9B"/>
    <w:rsid w:val="17504B00"/>
    <w:rsid w:val="17533F7B"/>
    <w:rsid w:val="17555A33"/>
    <w:rsid w:val="175D7DCB"/>
    <w:rsid w:val="176E37C0"/>
    <w:rsid w:val="176F63F4"/>
    <w:rsid w:val="177D764E"/>
    <w:rsid w:val="17814641"/>
    <w:rsid w:val="178733D8"/>
    <w:rsid w:val="17A34DC3"/>
    <w:rsid w:val="17AC2CDF"/>
    <w:rsid w:val="17BE5764"/>
    <w:rsid w:val="17C02955"/>
    <w:rsid w:val="17D0765E"/>
    <w:rsid w:val="17E1659F"/>
    <w:rsid w:val="17F75EA0"/>
    <w:rsid w:val="17F83137"/>
    <w:rsid w:val="180954C1"/>
    <w:rsid w:val="1816284D"/>
    <w:rsid w:val="181B2821"/>
    <w:rsid w:val="181D5806"/>
    <w:rsid w:val="1824493C"/>
    <w:rsid w:val="18284F0C"/>
    <w:rsid w:val="18295AD9"/>
    <w:rsid w:val="182C3E2A"/>
    <w:rsid w:val="183930B0"/>
    <w:rsid w:val="183A3546"/>
    <w:rsid w:val="183F0EA9"/>
    <w:rsid w:val="184A7867"/>
    <w:rsid w:val="185871DF"/>
    <w:rsid w:val="185E49B4"/>
    <w:rsid w:val="18626AF6"/>
    <w:rsid w:val="18810459"/>
    <w:rsid w:val="18950F85"/>
    <w:rsid w:val="189917C4"/>
    <w:rsid w:val="18A53A61"/>
    <w:rsid w:val="18A57935"/>
    <w:rsid w:val="18B12020"/>
    <w:rsid w:val="18B262F7"/>
    <w:rsid w:val="18C45EB5"/>
    <w:rsid w:val="18D636B0"/>
    <w:rsid w:val="18DA686A"/>
    <w:rsid w:val="18DE4004"/>
    <w:rsid w:val="18E263FE"/>
    <w:rsid w:val="18E26B60"/>
    <w:rsid w:val="18E36A88"/>
    <w:rsid w:val="18E43848"/>
    <w:rsid w:val="18EF6F6A"/>
    <w:rsid w:val="19101703"/>
    <w:rsid w:val="192155E5"/>
    <w:rsid w:val="192447C5"/>
    <w:rsid w:val="193819F6"/>
    <w:rsid w:val="19385F26"/>
    <w:rsid w:val="19424962"/>
    <w:rsid w:val="19443B37"/>
    <w:rsid w:val="19447ACE"/>
    <w:rsid w:val="19465F9E"/>
    <w:rsid w:val="19501C54"/>
    <w:rsid w:val="195A51EA"/>
    <w:rsid w:val="195E486D"/>
    <w:rsid w:val="1963665A"/>
    <w:rsid w:val="196426B1"/>
    <w:rsid w:val="196569EA"/>
    <w:rsid w:val="198A0B2E"/>
    <w:rsid w:val="198E36B4"/>
    <w:rsid w:val="19945392"/>
    <w:rsid w:val="19950B90"/>
    <w:rsid w:val="199969C7"/>
    <w:rsid w:val="19B22870"/>
    <w:rsid w:val="19C40F6B"/>
    <w:rsid w:val="19C66F6C"/>
    <w:rsid w:val="19DC46BF"/>
    <w:rsid w:val="19DE2365"/>
    <w:rsid w:val="19E06EFC"/>
    <w:rsid w:val="19EA439C"/>
    <w:rsid w:val="19F8661C"/>
    <w:rsid w:val="19FA5C8A"/>
    <w:rsid w:val="1A027EDB"/>
    <w:rsid w:val="1A0B1E61"/>
    <w:rsid w:val="1A107549"/>
    <w:rsid w:val="1A1663D4"/>
    <w:rsid w:val="1A263FDE"/>
    <w:rsid w:val="1A2F2A5E"/>
    <w:rsid w:val="1A402A83"/>
    <w:rsid w:val="1A412A5F"/>
    <w:rsid w:val="1A587316"/>
    <w:rsid w:val="1A671C93"/>
    <w:rsid w:val="1A6F695E"/>
    <w:rsid w:val="1A78055F"/>
    <w:rsid w:val="1A7973D1"/>
    <w:rsid w:val="1A7C5B0B"/>
    <w:rsid w:val="1A95602B"/>
    <w:rsid w:val="1A992AA9"/>
    <w:rsid w:val="1A9B372A"/>
    <w:rsid w:val="1AA55B7F"/>
    <w:rsid w:val="1AAE178F"/>
    <w:rsid w:val="1AB25285"/>
    <w:rsid w:val="1ABD5800"/>
    <w:rsid w:val="1AF81775"/>
    <w:rsid w:val="1AFD16E0"/>
    <w:rsid w:val="1AFE56C7"/>
    <w:rsid w:val="1B3237B5"/>
    <w:rsid w:val="1B32716B"/>
    <w:rsid w:val="1B3A1EE0"/>
    <w:rsid w:val="1B4972A7"/>
    <w:rsid w:val="1B511989"/>
    <w:rsid w:val="1B5418FE"/>
    <w:rsid w:val="1B8841DE"/>
    <w:rsid w:val="1B98518A"/>
    <w:rsid w:val="1BA15FE4"/>
    <w:rsid w:val="1BA42378"/>
    <w:rsid w:val="1BA61A06"/>
    <w:rsid w:val="1BA957E2"/>
    <w:rsid w:val="1BB1659A"/>
    <w:rsid w:val="1BB64B12"/>
    <w:rsid w:val="1BC71310"/>
    <w:rsid w:val="1BDF0CB3"/>
    <w:rsid w:val="1BE60593"/>
    <w:rsid w:val="1BE81287"/>
    <w:rsid w:val="1BF3115B"/>
    <w:rsid w:val="1BF76A7A"/>
    <w:rsid w:val="1BF93BFC"/>
    <w:rsid w:val="1C0D362D"/>
    <w:rsid w:val="1C121A3A"/>
    <w:rsid w:val="1C167667"/>
    <w:rsid w:val="1C1A398A"/>
    <w:rsid w:val="1C266E97"/>
    <w:rsid w:val="1C2B2DDB"/>
    <w:rsid w:val="1C300581"/>
    <w:rsid w:val="1C321D73"/>
    <w:rsid w:val="1C3B3467"/>
    <w:rsid w:val="1C413C84"/>
    <w:rsid w:val="1C4224CA"/>
    <w:rsid w:val="1C43089F"/>
    <w:rsid w:val="1C486B9A"/>
    <w:rsid w:val="1C4A36C8"/>
    <w:rsid w:val="1C570DDB"/>
    <w:rsid w:val="1C6A6813"/>
    <w:rsid w:val="1C8E42F9"/>
    <w:rsid w:val="1CA31D49"/>
    <w:rsid w:val="1CAE3FF4"/>
    <w:rsid w:val="1CB00001"/>
    <w:rsid w:val="1CBD4F58"/>
    <w:rsid w:val="1CCE4D04"/>
    <w:rsid w:val="1CD65C5D"/>
    <w:rsid w:val="1CE10CB1"/>
    <w:rsid w:val="1CE17219"/>
    <w:rsid w:val="1CE654FE"/>
    <w:rsid w:val="1CE90CEC"/>
    <w:rsid w:val="1CF7183B"/>
    <w:rsid w:val="1CFC7CE7"/>
    <w:rsid w:val="1D0A638B"/>
    <w:rsid w:val="1D0F2537"/>
    <w:rsid w:val="1D1E1666"/>
    <w:rsid w:val="1D2364DF"/>
    <w:rsid w:val="1D260219"/>
    <w:rsid w:val="1D4A1CE0"/>
    <w:rsid w:val="1D4F1B96"/>
    <w:rsid w:val="1D524A69"/>
    <w:rsid w:val="1D64043C"/>
    <w:rsid w:val="1D6B214C"/>
    <w:rsid w:val="1D6D0733"/>
    <w:rsid w:val="1D7B10C7"/>
    <w:rsid w:val="1D812265"/>
    <w:rsid w:val="1D8704DB"/>
    <w:rsid w:val="1D8D1FD3"/>
    <w:rsid w:val="1D941AC7"/>
    <w:rsid w:val="1D987CBA"/>
    <w:rsid w:val="1D9C098F"/>
    <w:rsid w:val="1D9C5FC4"/>
    <w:rsid w:val="1DA100CA"/>
    <w:rsid w:val="1DAA1F7E"/>
    <w:rsid w:val="1DBB675A"/>
    <w:rsid w:val="1DBD2F9A"/>
    <w:rsid w:val="1DC0455E"/>
    <w:rsid w:val="1DC22763"/>
    <w:rsid w:val="1DCE3FFE"/>
    <w:rsid w:val="1DD832F6"/>
    <w:rsid w:val="1DD83933"/>
    <w:rsid w:val="1DDB45A9"/>
    <w:rsid w:val="1DE70C5B"/>
    <w:rsid w:val="1DE73511"/>
    <w:rsid w:val="1DF94C86"/>
    <w:rsid w:val="1E0B50F4"/>
    <w:rsid w:val="1E102152"/>
    <w:rsid w:val="1E283E02"/>
    <w:rsid w:val="1E460348"/>
    <w:rsid w:val="1E4A29F5"/>
    <w:rsid w:val="1E516D5B"/>
    <w:rsid w:val="1E52442C"/>
    <w:rsid w:val="1E644095"/>
    <w:rsid w:val="1E7A27EB"/>
    <w:rsid w:val="1E7E3792"/>
    <w:rsid w:val="1E834016"/>
    <w:rsid w:val="1E886A65"/>
    <w:rsid w:val="1EA255E0"/>
    <w:rsid w:val="1EA87ECC"/>
    <w:rsid w:val="1EA94235"/>
    <w:rsid w:val="1EAF3C67"/>
    <w:rsid w:val="1EC633BA"/>
    <w:rsid w:val="1EE259DB"/>
    <w:rsid w:val="1EE4183B"/>
    <w:rsid w:val="1EE75A1B"/>
    <w:rsid w:val="1EF20D52"/>
    <w:rsid w:val="1F112940"/>
    <w:rsid w:val="1F200118"/>
    <w:rsid w:val="1F275E44"/>
    <w:rsid w:val="1F2968FE"/>
    <w:rsid w:val="1F31095C"/>
    <w:rsid w:val="1F346147"/>
    <w:rsid w:val="1F3A5D79"/>
    <w:rsid w:val="1F473ECD"/>
    <w:rsid w:val="1F4E7AE0"/>
    <w:rsid w:val="1F61582F"/>
    <w:rsid w:val="1F6571E7"/>
    <w:rsid w:val="1F6F453F"/>
    <w:rsid w:val="1F7B1D02"/>
    <w:rsid w:val="1F7C2C50"/>
    <w:rsid w:val="1F972CE6"/>
    <w:rsid w:val="1F994EA3"/>
    <w:rsid w:val="1F9C32DD"/>
    <w:rsid w:val="1FBD6756"/>
    <w:rsid w:val="1FC3430B"/>
    <w:rsid w:val="1FC63586"/>
    <w:rsid w:val="1FCD0517"/>
    <w:rsid w:val="1FE864AB"/>
    <w:rsid w:val="1FF354D1"/>
    <w:rsid w:val="1FFA7348"/>
    <w:rsid w:val="1FFC2901"/>
    <w:rsid w:val="1FFF2EF5"/>
    <w:rsid w:val="200529AD"/>
    <w:rsid w:val="20062098"/>
    <w:rsid w:val="200B5B4F"/>
    <w:rsid w:val="2018599A"/>
    <w:rsid w:val="202D110C"/>
    <w:rsid w:val="20315DEF"/>
    <w:rsid w:val="20325711"/>
    <w:rsid w:val="2033143A"/>
    <w:rsid w:val="203634F7"/>
    <w:rsid w:val="20471356"/>
    <w:rsid w:val="205630F0"/>
    <w:rsid w:val="20594D80"/>
    <w:rsid w:val="205E4D68"/>
    <w:rsid w:val="206435D7"/>
    <w:rsid w:val="206D35F1"/>
    <w:rsid w:val="206D466F"/>
    <w:rsid w:val="206E723A"/>
    <w:rsid w:val="20702A7E"/>
    <w:rsid w:val="2071563A"/>
    <w:rsid w:val="20787351"/>
    <w:rsid w:val="2079128E"/>
    <w:rsid w:val="208A5CA8"/>
    <w:rsid w:val="20A72B6F"/>
    <w:rsid w:val="20AA0ECB"/>
    <w:rsid w:val="20B36581"/>
    <w:rsid w:val="20B60893"/>
    <w:rsid w:val="20B66441"/>
    <w:rsid w:val="20B77B53"/>
    <w:rsid w:val="20BA2C6B"/>
    <w:rsid w:val="20BA463F"/>
    <w:rsid w:val="20BD1651"/>
    <w:rsid w:val="20BD1763"/>
    <w:rsid w:val="20BF6BA7"/>
    <w:rsid w:val="20C20828"/>
    <w:rsid w:val="20C330DB"/>
    <w:rsid w:val="20CC7A11"/>
    <w:rsid w:val="20D76576"/>
    <w:rsid w:val="20E223C4"/>
    <w:rsid w:val="20E536B6"/>
    <w:rsid w:val="20EF7AA3"/>
    <w:rsid w:val="20FA2DBA"/>
    <w:rsid w:val="21040F03"/>
    <w:rsid w:val="210752C6"/>
    <w:rsid w:val="210A1FC8"/>
    <w:rsid w:val="21111320"/>
    <w:rsid w:val="21150C97"/>
    <w:rsid w:val="212719AD"/>
    <w:rsid w:val="214701FF"/>
    <w:rsid w:val="214A321C"/>
    <w:rsid w:val="214F69C3"/>
    <w:rsid w:val="21597BE7"/>
    <w:rsid w:val="21760F63"/>
    <w:rsid w:val="21832276"/>
    <w:rsid w:val="2188584E"/>
    <w:rsid w:val="21943617"/>
    <w:rsid w:val="219D5CF4"/>
    <w:rsid w:val="21D708FC"/>
    <w:rsid w:val="21E365C6"/>
    <w:rsid w:val="21E64786"/>
    <w:rsid w:val="21EC5D9B"/>
    <w:rsid w:val="21EC6AEC"/>
    <w:rsid w:val="21EE7310"/>
    <w:rsid w:val="21F962CD"/>
    <w:rsid w:val="22010E3A"/>
    <w:rsid w:val="22040412"/>
    <w:rsid w:val="22135B75"/>
    <w:rsid w:val="22226E2D"/>
    <w:rsid w:val="222C2F4E"/>
    <w:rsid w:val="222F68A5"/>
    <w:rsid w:val="223A1B30"/>
    <w:rsid w:val="223B0106"/>
    <w:rsid w:val="22460F9B"/>
    <w:rsid w:val="224A0A33"/>
    <w:rsid w:val="225215FB"/>
    <w:rsid w:val="22646910"/>
    <w:rsid w:val="22682ABA"/>
    <w:rsid w:val="226D1E72"/>
    <w:rsid w:val="227475A2"/>
    <w:rsid w:val="227576FF"/>
    <w:rsid w:val="228618EC"/>
    <w:rsid w:val="228864DE"/>
    <w:rsid w:val="22AB2187"/>
    <w:rsid w:val="22AE5BAD"/>
    <w:rsid w:val="22AF4D88"/>
    <w:rsid w:val="22CD7AC4"/>
    <w:rsid w:val="22E14913"/>
    <w:rsid w:val="22E15AFF"/>
    <w:rsid w:val="22F61DC1"/>
    <w:rsid w:val="22F914EA"/>
    <w:rsid w:val="22FA40FC"/>
    <w:rsid w:val="22FD7420"/>
    <w:rsid w:val="23067F40"/>
    <w:rsid w:val="231430D2"/>
    <w:rsid w:val="231A4909"/>
    <w:rsid w:val="231D7CF3"/>
    <w:rsid w:val="231E592E"/>
    <w:rsid w:val="231E7BD2"/>
    <w:rsid w:val="2327191F"/>
    <w:rsid w:val="23273E23"/>
    <w:rsid w:val="232E371D"/>
    <w:rsid w:val="23384115"/>
    <w:rsid w:val="2347179E"/>
    <w:rsid w:val="23540162"/>
    <w:rsid w:val="235422BB"/>
    <w:rsid w:val="23603B5C"/>
    <w:rsid w:val="23704D42"/>
    <w:rsid w:val="23795955"/>
    <w:rsid w:val="237E1306"/>
    <w:rsid w:val="237F1759"/>
    <w:rsid w:val="23803936"/>
    <w:rsid w:val="238169E6"/>
    <w:rsid w:val="238925F8"/>
    <w:rsid w:val="23A00778"/>
    <w:rsid w:val="23A55874"/>
    <w:rsid w:val="23B86C1E"/>
    <w:rsid w:val="23BC7C23"/>
    <w:rsid w:val="23C7201E"/>
    <w:rsid w:val="23CE2493"/>
    <w:rsid w:val="23DA4039"/>
    <w:rsid w:val="23E372C7"/>
    <w:rsid w:val="23F37570"/>
    <w:rsid w:val="23FF389D"/>
    <w:rsid w:val="2403402B"/>
    <w:rsid w:val="24051444"/>
    <w:rsid w:val="24084291"/>
    <w:rsid w:val="240932EA"/>
    <w:rsid w:val="24164AB9"/>
    <w:rsid w:val="2422188D"/>
    <w:rsid w:val="24250EB0"/>
    <w:rsid w:val="242669EB"/>
    <w:rsid w:val="24275BFF"/>
    <w:rsid w:val="243144DD"/>
    <w:rsid w:val="24385779"/>
    <w:rsid w:val="2439048D"/>
    <w:rsid w:val="24390703"/>
    <w:rsid w:val="243D1B12"/>
    <w:rsid w:val="244467AE"/>
    <w:rsid w:val="244B06CE"/>
    <w:rsid w:val="24595C73"/>
    <w:rsid w:val="2462713B"/>
    <w:rsid w:val="24634BD4"/>
    <w:rsid w:val="246D4098"/>
    <w:rsid w:val="246F4775"/>
    <w:rsid w:val="24722BBA"/>
    <w:rsid w:val="247923A6"/>
    <w:rsid w:val="2482408A"/>
    <w:rsid w:val="24915DE6"/>
    <w:rsid w:val="24952391"/>
    <w:rsid w:val="24967284"/>
    <w:rsid w:val="249F3EE3"/>
    <w:rsid w:val="24A221EB"/>
    <w:rsid w:val="24A252AF"/>
    <w:rsid w:val="24B4024C"/>
    <w:rsid w:val="24B84316"/>
    <w:rsid w:val="24C16969"/>
    <w:rsid w:val="24C84772"/>
    <w:rsid w:val="24C94374"/>
    <w:rsid w:val="24D460A8"/>
    <w:rsid w:val="24D52451"/>
    <w:rsid w:val="24D80201"/>
    <w:rsid w:val="24D8566C"/>
    <w:rsid w:val="24EC3B78"/>
    <w:rsid w:val="24F133E8"/>
    <w:rsid w:val="24F471BD"/>
    <w:rsid w:val="24FC01F0"/>
    <w:rsid w:val="2500512F"/>
    <w:rsid w:val="251958FB"/>
    <w:rsid w:val="2524326C"/>
    <w:rsid w:val="25395CD6"/>
    <w:rsid w:val="253A7874"/>
    <w:rsid w:val="253B090B"/>
    <w:rsid w:val="25467A6A"/>
    <w:rsid w:val="254D6D91"/>
    <w:rsid w:val="25575A0D"/>
    <w:rsid w:val="256A5217"/>
    <w:rsid w:val="257A56A1"/>
    <w:rsid w:val="257B0359"/>
    <w:rsid w:val="2581650E"/>
    <w:rsid w:val="258B7AD7"/>
    <w:rsid w:val="259C3E27"/>
    <w:rsid w:val="25A434FE"/>
    <w:rsid w:val="25A612D4"/>
    <w:rsid w:val="25A76945"/>
    <w:rsid w:val="25AB1780"/>
    <w:rsid w:val="25AE2A70"/>
    <w:rsid w:val="25B071DC"/>
    <w:rsid w:val="25B21673"/>
    <w:rsid w:val="25B34B3F"/>
    <w:rsid w:val="25B97A00"/>
    <w:rsid w:val="25BB0565"/>
    <w:rsid w:val="25BC078D"/>
    <w:rsid w:val="25BF6D97"/>
    <w:rsid w:val="25CE3F53"/>
    <w:rsid w:val="25DF76E4"/>
    <w:rsid w:val="25E64E8B"/>
    <w:rsid w:val="25F76A2E"/>
    <w:rsid w:val="25FF490E"/>
    <w:rsid w:val="26045BA5"/>
    <w:rsid w:val="2608147E"/>
    <w:rsid w:val="2616589F"/>
    <w:rsid w:val="261B1965"/>
    <w:rsid w:val="261D5681"/>
    <w:rsid w:val="261E1EAF"/>
    <w:rsid w:val="2622515D"/>
    <w:rsid w:val="263006FF"/>
    <w:rsid w:val="2632779F"/>
    <w:rsid w:val="26343C0E"/>
    <w:rsid w:val="263F46CF"/>
    <w:rsid w:val="2648160D"/>
    <w:rsid w:val="264D54A2"/>
    <w:rsid w:val="26546311"/>
    <w:rsid w:val="265970D6"/>
    <w:rsid w:val="266A7F06"/>
    <w:rsid w:val="2672473F"/>
    <w:rsid w:val="267628A6"/>
    <w:rsid w:val="267642F1"/>
    <w:rsid w:val="267E0CF9"/>
    <w:rsid w:val="26930A96"/>
    <w:rsid w:val="26994EDC"/>
    <w:rsid w:val="26A154E9"/>
    <w:rsid w:val="26A250CF"/>
    <w:rsid w:val="26B600FB"/>
    <w:rsid w:val="26BC749F"/>
    <w:rsid w:val="26BE0481"/>
    <w:rsid w:val="26C65259"/>
    <w:rsid w:val="26D65B56"/>
    <w:rsid w:val="26DC3482"/>
    <w:rsid w:val="26E65B25"/>
    <w:rsid w:val="26E84D2B"/>
    <w:rsid w:val="26EC063F"/>
    <w:rsid w:val="27050675"/>
    <w:rsid w:val="2708144A"/>
    <w:rsid w:val="271040C1"/>
    <w:rsid w:val="27110DDA"/>
    <w:rsid w:val="27127E66"/>
    <w:rsid w:val="27195161"/>
    <w:rsid w:val="271C2021"/>
    <w:rsid w:val="27385D11"/>
    <w:rsid w:val="274E7CB5"/>
    <w:rsid w:val="274F1F02"/>
    <w:rsid w:val="274F4827"/>
    <w:rsid w:val="27512E91"/>
    <w:rsid w:val="27630444"/>
    <w:rsid w:val="276F21FD"/>
    <w:rsid w:val="27727E31"/>
    <w:rsid w:val="27762FBF"/>
    <w:rsid w:val="278A5388"/>
    <w:rsid w:val="278C5C0D"/>
    <w:rsid w:val="279244D2"/>
    <w:rsid w:val="279B2893"/>
    <w:rsid w:val="279B7BA8"/>
    <w:rsid w:val="27A30394"/>
    <w:rsid w:val="27A54E69"/>
    <w:rsid w:val="27A650A2"/>
    <w:rsid w:val="27AB6A48"/>
    <w:rsid w:val="27D36066"/>
    <w:rsid w:val="27D605AC"/>
    <w:rsid w:val="27D82D80"/>
    <w:rsid w:val="27D90366"/>
    <w:rsid w:val="27EA246C"/>
    <w:rsid w:val="27EC51D1"/>
    <w:rsid w:val="27F2052B"/>
    <w:rsid w:val="2800211B"/>
    <w:rsid w:val="28005FBA"/>
    <w:rsid w:val="280D010C"/>
    <w:rsid w:val="283748DE"/>
    <w:rsid w:val="2842661D"/>
    <w:rsid w:val="28461DD4"/>
    <w:rsid w:val="284A39DF"/>
    <w:rsid w:val="28592B32"/>
    <w:rsid w:val="285D0806"/>
    <w:rsid w:val="28640251"/>
    <w:rsid w:val="286F7AFC"/>
    <w:rsid w:val="287523FD"/>
    <w:rsid w:val="28767569"/>
    <w:rsid w:val="287C5A7F"/>
    <w:rsid w:val="28994FB0"/>
    <w:rsid w:val="289F1006"/>
    <w:rsid w:val="28BC3ACC"/>
    <w:rsid w:val="28CD3212"/>
    <w:rsid w:val="28D215E5"/>
    <w:rsid w:val="28D8743F"/>
    <w:rsid w:val="28FA031C"/>
    <w:rsid w:val="28FB5098"/>
    <w:rsid w:val="28FC354A"/>
    <w:rsid w:val="290D6A87"/>
    <w:rsid w:val="290D6A89"/>
    <w:rsid w:val="29171209"/>
    <w:rsid w:val="291A7232"/>
    <w:rsid w:val="29206950"/>
    <w:rsid w:val="2923219A"/>
    <w:rsid w:val="29271D87"/>
    <w:rsid w:val="292C2CE7"/>
    <w:rsid w:val="2943618E"/>
    <w:rsid w:val="29442273"/>
    <w:rsid w:val="294D0EDE"/>
    <w:rsid w:val="29524C95"/>
    <w:rsid w:val="29542371"/>
    <w:rsid w:val="295B4611"/>
    <w:rsid w:val="2966697A"/>
    <w:rsid w:val="297010F4"/>
    <w:rsid w:val="29741B2A"/>
    <w:rsid w:val="2975147B"/>
    <w:rsid w:val="297A02CA"/>
    <w:rsid w:val="297C42B2"/>
    <w:rsid w:val="2988011B"/>
    <w:rsid w:val="298A7624"/>
    <w:rsid w:val="29976295"/>
    <w:rsid w:val="29A1563D"/>
    <w:rsid w:val="29A65BB9"/>
    <w:rsid w:val="29AF672C"/>
    <w:rsid w:val="29B24A91"/>
    <w:rsid w:val="29C0237F"/>
    <w:rsid w:val="29C2645F"/>
    <w:rsid w:val="29C56187"/>
    <w:rsid w:val="29F93DD5"/>
    <w:rsid w:val="2A0030F5"/>
    <w:rsid w:val="2A007F4D"/>
    <w:rsid w:val="2A0506A0"/>
    <w:rsid w:val="2A0531B5"/>
    <w:rsid w:val="2A0565D5"/>
    <w:rsid w:val="2A065CAC"/>
    <w:rsid w:val="2A075FF1"/>
    <w:rsid w:val="2A0A0D9A"/>
    <w:rsid w:val="2A0E7FF9"/>
    <w:rsid w:val="2A0F0545"/>
    <w:rsid w:val="2A122F64"/>
    <w:rsid w:val="2A25266A"/>
    <w:rsid w:val="2A2811FA"/>
    <w:rsid w:val="2A2C2886"/>
    <w:rsid w:val="2A344036"/>
    <w:rsid w:val="2A4552C3"/>
    <w:rsid w:val="2A5305C7"/>
    <w:rsid w:val="2A727492"/>
    <w:rsid w:val="2A756A71"/>
    <w:rsid w:val="2A7E0F37"/>
    <w:rsid w:val="2A8559E6"/>
    <w:rsid w:val="2A8F6F3F"/>
    <w:rsid w:val="2A901C2B"/>
    <w:rsid w:val="2A9F3C29"/>
    <w:rsid w:val="2AAE6795"/>
    <w:rsid w:val="2AB32CF4"/>
    <w:rsid w:val="2AB91FEA"/>
    <w:rsid w:val="2AC83EB7"/>
    <w:rsid w:val="2AD05C33"/>
    <w:rsid w:val="2AD267CC"/>
    <w:rsid w:val="2AE2161C"/>
    <w:rsid w:val="2AE9447E"/>
    <w:rsid w:val="2B14781C"/>
    <w:rsid w:val="2B164C68"/>
    <w:rsid w:val="2B1D0329"/>
    <w:rsid w:val="2B1D7991"/>
    <w:rsid w:val="2B365002"/>
    <w:rsid w:val="2B3B6E94"/>
    <w:rsid w:val="2B435E63"/>
    <w:rsid w:val="2B4469C1"/>
    <w:rsid w:val="2B4F5B82"/>
    <w:rsid w:val="2B514BE0"/>
    <w:rsid w:val="2B515A4F"/>
    <w:rsid w:val="2B570107"/>
    <w:rsid w:val="2B621BF5"/>
    <w:rsid w:val="2B630075"/>
    <w:rsid w:val="2B685155"/>
    <w:rsid w:val="2B692B5C"/>
    <w:rsid w:val="2B8F51B1"/>
    <w:rsid w:val="2B9C1DB4"/>
    <w:rsid w:val="2B9D67E1"/>
    <w:rsid w:val="2B9F51DE"/>
    <w:rsid w:val="2BA33D69"/>
    <w:rsid w:val="2BA7398D"/>
    <w:rsid w:val="2BAC4459"/>
    <w:rsid w:val="2BB2781C"/>
    <w:rsid w:val="2BBD6854"/>
    <w:rsid w:val="2BBF3CF6"/>
    <w:rsid w:val="2BC8348A"/>
    <w:rsid w:val="2BD25B64"/>
    <w:rsid w:val="2BD66D4A"/>
    <w:rsid w:val="2BDD6532"/>
    <w:rsid w:val="2BDE16A6"/>
    <w:rsid w:val="2BF634B3"/>
    <w:rsid w:val="2BF65315"/>
    <w:rsid w:val="2BFE0842"/>
    <w:rsid w:val="2C0563DF"/>
    <w:rsid w:val="2C0D771E"/>
    <w:rsid w:val="2C197811"/>
    <w:rsid w:val="2C1C20B2"/>
    <w:rsid w:val="2C225E33"/>
    <w:rsid w:val="2C2C398B"/>
    <w:rsid w:val="2C2E43F5"/>
    <w:rsid w:val="2C2E5B5A"/>
    <w:rsid w:val="2C3063A5"/>
    <w:rsid w:val="2C422201"/>
    <w:rsid w:val="2C457A6B"/>
    <w:rsid w:val="2C4626FE"/>
    <w:rsid w:val="2C543547"/>
    <w:rsid w:val="2C6000BC"/>
    <w:rsid w:val="2C633505"/>
    <w:rsid w:val="2C764BB0"/>
    <w:rsid w:val="2C7C732D"/>
    <w:rsid w:val="2C80182C"/>
    <w:rsid w:val="2C8E045B"/>
    <w:rsid w:val="2C9D2F6E"/>
    <w:rsid w:val="2CA028D8"/>
    <w:rsid w:val="2CA4032A"/>
    <w:rsid w:val="2CB2077D"/>
    <w:rsid w:val="2CB973C4"/>
    <w:rsid w:val="2CBE3E5B"/>
    <w:rsid w:val="2CBE5AD8"/>
    <w:rsid w:val="2CC327BE"/>
    <w:rsid w:val="2CCB06D5"/>
    <w:rsid w:val="2CD72DF0"/>
    <w:rsid w:val="2CE05000"/>
    <w:rsid w:val="2CFE206D"/>
    <w:rsid w:val="2D08702F"/>
    <w:rsid w:val="2D093793"/>
    <w:rsid w:val="2D1233EE"/>
    <w:rsid w:val="2D3B1A61"/>
    <w:rsid w:val="2D4979AE"/>
    <w:rsid w:val="2D622606"/>
    <w:rsid w:val="2D6D1A79"/>
    <w:rsid w:val="2D733457"/>
    <w:rsid w:val="2D88553C"/>
    <w:rsid w:val="2D8957F2"/>
    <w:rsid w:val="2D8E39EF"/>
    <w:rsid w:val="2D917DB2"/>
    <w:rsid w:val="2DAD145A"/>
    <w:rsid w:val="2DB1787A"/>
    <w:rsid w:val="2DB753F1"/>
    <w:rsid w:val="2DC3563E"/>
    <w:rsid w:val="2DC8275F"/>
    <w:rsid w:val="2DCA67CB"/>
    <w:rsid w:val="2DDC38A4"/>
    <w:rsid w:val="2DDD39D0"/>
    <w:rsid w:val="2DDD402A"/>
    <w:rsid w:val="2DE8380B"/>
    <w:rsid w:val="2DFE338A"/>
    <w:rsid w:val="2E115812"/>
    <w:rsid w:val="2E1E7826"/>
    <w:rsid w:val="2E2B45F6"/>
    <w:rsid w:val="2E317F3A"/>
    <w:rsid w:val="2E324646"/>
    <w:rsid w:val="2E357B89"/>
    <w:rsid w:val="2E3C6A58"/>
    <w:rsid w:val="2E491A04"/>
    <w:rsid w:val="2E4A062B"/>
    <w:rsid w:val="2E4C2DB0"/>
    <w:rsid w:val="2E503A6F"/>
    <w:rsid w:val="2E65509F"/>
    <w:rsid w:val="2E6B4307"/>
    <w:rsid w:val="2E7569C8"/>
    <w:rsid w:val="2E757257"/>
    <w:rsid w:val="2E887E60"/>
    <w:rsid w:val="2E8A51D9"/>
    <w:rsid w:val="2E9F5560"/>
    <w:rsid w:val="2EA32FC7"/>
    <w:rsid w:val="2EC34F02"/>
    <w:rsid w:val="2EC60E7D"/>
    <w:rsid w:val="2EE3269E"/>
    <w:rsid w:val="2EE50876"/>
    <w:rsid w:val="2EEB2D22"/>
    <w:rsid w:val="2EEB508A"/>
    <w:rsid w:val="2EEF7A6B"/>
    <w:rsid w:val="2EF35C02"/>
    <w:rsid w:val="2EF37A30"/>
    <w:rsid w:val="2EFC54CF"/>
    <w:rsid w:val="2F0C22DF"/>
    <w:rsid w:val="2F0C6CC1"/>
    <w:rsid w:val="2F0F6299"/>
    <w:rsid w:val="2F1F5E73"/>
    <w:rsid w:val="2F297A0F"/>
    <w:rsid w:val="2F2D4335"/>
    <w:rsid w:val="2F2F3457"/>
    <w:rsid w:val="2F351401"/>
    <w:rsid w:val="2F36517B"/>
    <w:rsid w:val="2F374462"/>
    <w:rsid w:val="2F3A0746"/>
    <w:rsid w:val="2F4157CA"/>
    <w:rsid w:val="2F4F49C8"/>
    <w:rsid w:val="2F5E236A"/>
    <w:rsid w:val="2F7D6077"/>
    <w:rsid w:val="2F890F26"/>
    <w:rsid w:val="2F892A83"/>
    <w:rsid w:val="2F8A08CC"/>
    <w:rsid w:val="2F914A98"/>
    <w:rsid w:val="2F963373"/>
    <w:rsid w:val="2FAB7413"/>
    <w:rsid w:val="2FAE0498"/>
    <w:rsid w:val="2FB7592E"/>
    <w:rsid w:val="2FBB3CC4"/>
    <w:rsid w:val="2FBD7037"/>
    <w:rsid w:val="2FBF1818"/>
    <w:rsid w:val="2FBF5DAF"/>
    <w:rsid w:val="2FC76584"/>
    <w:rsid w:val="2FD067F9"/>
    <w:rsid w:val="2FD43C00"/>
    <w:rsid w:val="2FD75F88"/>
    <w:rsid w:val="2FD927E4"/>
    <w:rsid w:val="2FDE7F5F"/>
    <w:rsid w:val="2FE30138"/>
    <w:rsid w:val="2FE93FB2"/>
    <w:rsid w:val="2FEC3129"/>
    <w:rsid w:val="2FF40230"/>
    <w:rsid w:val="30067394"/>
    <w:rsid w:val="300866EE"/>
    <w:rsid w:val="30097368"/>
    <w:rsid w:val="300E2502"/>
    <w:rsid w:val="302225B6"/>
    <w:rsid w:val="30336BB7"/>
    <w:rsid w:val="303402FA"/>
    <w:rsid w:val="303438A9"/>
    <w:rsid w:val="304E5D9F"/>
    <w:rsid w:val="305020CD"/>
    <w:rsid w:val="30582162"/>
    <w:rsid w:val="305962BE"/>
    <w:rsid w:val="30621351"/>
    <w:rsid w:val="3066745B"/>
    <w:rsid w:val="306C0C44"/>
    <w:rsid w:val="3072406D"/>
    <w:rsid w:val="3079775E"/>
    <w:rsid w:val="307F501C"/>
    <w:rsid w:val="30831440"/>
    <w:rsid w:val="3093575F"/>
    <w:rsid w:val="30962BE9"/>
    <w:rsid w:val="30B10D3B"/>
    <w:rsid w:val="30B635A8"/>
    <w:rsid w:val="30B95467"/>
    <w:rsid w:val="30BF7B47"/>
    <w:rsid w:val="30C107BB"/>
    <w:rsid w:val="30D40121"/>
    <w:rsid w:val="30D720BD"/>
    <w:rsid w:val="30DB0A08"/>
    <w:rsid w:val="30EE5F15"/>
    <w:rsid w:val="30FA7003"/>
    <w:rsid w:val="30FE742F"/>
    <w:rsid w:val="31003D11"/>
    <w:rsid w:val="310400D0"/>
    <w:rsid w:val="31101A10"/>
    <w:rsid w:val="31105362"/>
    <w:rsid w:val="31167642"/>
    <w:rsid w:val="311A50A9"/>
    <w:rsid w:val="311C6E8A"/>
    <w:rsid w:val="31337DED"/>
    <w:rsid w:val="31406FE3"/>
    <w:rsid w:val="31586037"/>
    <w:rsid w:val="315E5060"/>
    <w:rsid w:val="317A520D"/>
    <w:rsid w:val="31863CE6"/>
    <w:rsid w:val="3191467E"/>
    <w:rsid w:val="31915E58"/>
    <w:rsid w:val="31993333"/>
    <w:rsid w:val="31A67FFB"/>
    <w:rsid w:val="31B10FD7"/>
    <w:rsid w:val="31BC1074"/>
    <w:rsid w:val="31C07379"/>
    <w:rsid w:val="31CA37B5"/>
    <w:rsid w:val="31D74458"/>
    <w:rsid w:val="31D86C9C"/>
    <w:rsid w:val="31DD10CA"/>
    <w:rsid w:val="31DE4047"/>
    <w:rsid w:val="31E622F8"/>
    <w:rsid w:val="31E74B3F"/>
    <w:rsid w:val="31EB2FE1"/>
    <w:rsid w:val="31EB61D0"/>
    <w:rsid w:val="32045F7A"/>
    <w:rsid w:val="32102EE7"/>
    <w:rsid w:val="32154C9B"/>
    <w:rsid w:val="32350D48"/>
    <w:rsid w:val="323F2DBF"/>
    <w:rsid w:val="32457FC4"/>
    <w:rsid w:val="325A5918"/>
    <w:rsid w:val="325F7B08"/>
    <w:rsid w:val="326571C3"/>
    <w:rsid w:val="326671D7"/>
    <w:rsid w:val="3267043F"/>
    <w:rsid w:val="3273555E"/>
    <w:rsid w:val="327E3E2B"/>
    <w:rsid w:val="32833846"/>
    <w:rsid w:val="328473F5"/>
    <w:rsid w:val="328E1775"/>
    <w:rsid w:val="329A03E8"/>
    <w:rsid w:val="329C546E"/>
    <w:rsid w:val="32A900D9"/>
    <w:rsid w:val="32AB075E"/>
    <w:rsid w:val="32B67EA8"/>
    <w:rsid w:val="32DD3D03"/>
    <w:rsid w:val="32DF6972"/>
    <w:rsid w:val="32E12C59"/>
    <w:rsid w:val="32F0674A"/>
    <w:rsid w:val="33095DA0"/>
    <w:rsid w:val="33145FBC"/>
    <w:rsid w:val="33222B35"/>
    <w:rsid w:val="332B40B2"/>
    <w:rsid w:val="332C690B"/>
    <w:rsid w:val="332D2637"/>
    <w:rsid w:val="33394A74"/>
    <w:rsid w:val="335072D3"/>
    <w:rsid w:val="3369674D"/>
    <w:rsid w:val="336D38A7"/>
    <w:rsid w:val="336E12FB"/>
    <w:rsid w:val="338334E0"/>
    <w:rsid w:val="33954549"/>
    <w:rsid w:val="3396429C"/>
    <w:rsid w:val="339A067B"/>
    <w:rsid w:val="339A1840"/>
    <w:rsid w:val="33A56B5C"/>
    <w:rsid w:val="33A6417A"/>
    <w:rsid w:val="33A71FBA"/>
    <w:rsid w:val="33A94F4C"/>
    <w:rsid w:val="33AB6A2B"/>
    <w:rsid w:val="33C70CDA"/>
    <w:rsid w:val="33E633F0"/>
    <w:rsid w:val="33ED7D27"/>
    <w:rsid w:val="33F82A12"/>
    <w:rsid w:val="33FB3647"/>
    <w:rsid w:val="34056D0A"/>
    <w:rsid w:val="34087F11"/>
    <w:rsid w:val="34255290"/>
    <w:rsid w:val="34304091"/>
    <w:rsid w:val="34362C0A"/>
    <w:rsid w:val="34486194"/>
    <w:rsid w:val="344F34FB"/>
    <w:rsid w:val="34550914"/>
    <w:rsid w:val="34555A90"/>
    <w:rsid w:val="346933EF"/>
    <w:rsid w:val="346C6F59"/>
    <w:rsid w:val="34706CD0"/>
    <w:rsid w:val="34881304"/>
    <w:rsid w:val="34930CC7"/>
    <w:rsid w:val="349F262A"/>
    <w:rsid w:val="34A32499"/>
    <w:rsid w:val="34B40FAF"/>
    <w:rsid w:val="34BF5566"/>
    <w:rsid w:val="34C208C3"/>
    <w:rsid w:val="34D32F61"/>
    <w:rsid w:val="34D7557B"/>
    <w:rsid w:val="34E22D79"/>
    <w:rsid w:val="34E4672C"/>
    <w:rsid w:val="34E478F6"/>
    <w:rsid w:val="34F25A3D"/>
    <w:rsid w:val="34F65429"/>
    <w:rsid w:val="350A0037"/>
    <w:rsid w:val="351D347B"/>
    <w:rsid w:val="35236E85"/>
    <w:rsid w:val="35316ADD"/>
    <w:rsid w:val="353640EF"/>
    <w:rsid w:val="353F2148"/>
    <w:rsid w:val="35430C24"/>
    <w:rsid w:val="35440D49"/>
    <w:rsid w:val="354A2942"/>
    <w:rsid w:val="35545073"/>
    <w:rsid w:val="356C3AF7"/>
    <w:rsid w:val="356D2A92"/>
    <w:rsid w:val="356E0822"/>
    <w:rsid w:val="356F70BE"/>
    <w:rsid w:val="35796219"/>
    <w:rsid w:val="357E4924"/>
    <w:rsid w:val="35884BC3"/>
    <w:rsid w:val="359B02ED"/>
    <w:rsid w:val="35A9795A"/>
    <w:rsid w:val="35AC2418"/>
    <w:rsid w:val="35B757CB"/>
    <w:rsid w:val="35C21836"/>
    <w:rsid w:val="35CA2236"/>
    <w:rsid w:val="35D903C5"/>
    <w:rsid w:val="35E12DC2"/>
    <w:rsid w:val="35E30C82"/>
    <w:rsid w:val="35F11141"/>
    <w:rsid w:val="35F14768"/>
    <w:rsid w:val="36042ECA"/>
    <w:rsid w:val="36060737"/>
    <w:rsid w:val="36077B54"/>
    <w:rsid w:val="36207AC5"/>
    <w:rsid w:val="36272C9D"/>
    <w:rsid w:val="362B29F8"/>
    <w:rsid w:val="362E6997"/>
    <w:rsid w:val="36314450"/>
    <w:rsid w:val="36321FF8"/>
    <w:rsid w:val="363757EE"/>
    <w:rsid w:val="363A7105"/>
    <w:rsid w:val="363B221C"/>
    <w:rsid w:val="364748F2"/>
    <w:rsid w:val="36705D62"/>
    <w:rsid w:val="36711624"/>
    <w:rsid w:val="367162EC"/>
    <w:rsid w:val="36756EF5"/>
    <w:rsid w:val="36905601"/>
    <w:rsid w:val="36921F96"/>
    <w:rsid w:val="36965535"/>
    <w:rsid w:val="369D0EC6"/>
    <w:rsid w:val="36A131A9"/>
    <w:rsid w:val="36A3118C"/>
    <w:rsid w:val="36A856CC"/>
    <w:rsid w:val="36B22E6E"/>
    <w:rsid w:val="36B857E4"/>
    <w:rsid w:val="36BC4C4E"/>
    <w:rsid w:val="36C60C21"/>
    <w:rsid w:val="36C942C1"/>
    <w:rsid w:val="36D92F69"/>
    <w:rsid w:val="36E12AF9"/>
    <w:rsid w:val="36E531DA"/>
    <w:rsid w:val="36E57B09"/>
    <w:rsid w:val="3724157D"/>
    <w:rsid w:val="3734642A"/>
    <w:rsid w:val="37356D35"/>
    <w:rsid w:val="373E4A93"/>
    <w:rsid w:val="37493A61"/>
    <w:rsid w:val="37575408"/>
    <w:rsid w:val="37596AF9"/>
    <w:rsid w:val="37645D5E"/>
    <w:rsid w:val="377045A5"/>
    <w:rsid w:val="377644C8"/>
    <w:rsid w:val="377A2FE2"/>
    <w:rsid w:val="37931D11"/>
    <w:rsid w:val="379716F7"/>
    <w:rsid w:val="379F49D5"/>
    <w:rsid w:val="37A32FBF"/>
    <w:rsid w:val="37A64CDE"/>
    <w:rsid w:val="37AD17D5"/>
    <w:rsid w:val="37AE7B44"/>
    <w:rsid w:val="37B4396B"/>
    <w:rsid w:val="37B8715D"/>
    <w:rsid w:val="37BA328B"/>
    <w:rsid w:val="37BC7000"/>
    <w:rsid w:val="37D27ED7"/>
    <w:rsid w:val="37E11E05"/>
    <w:rsid w:val="37E33CA6"/>
    <w:rsid w:val="37E85E95"/>
    <w:rsid w:val="37EC5862"/>
    <w:rsid w:val="37F45447"/>
    <w:rsid w:val="37F747D6"/>
    <w:rsid w:val="37FD3E8B"/>
    <w:rsid w:val="38186634"/>
    <w:rsid w:val="38186965"/>
    <w:rsid w:val="381E48A0"/>
    <w:rsid w:val="3820363A"/>
    <w:rsid w:val="38281018"/>
    <w:rsid w:val="382D20F9"/>
    <w:rsid w:val="382E0700"/>
    <w:rsid w:val="385C1CFE"/>
    <w:rsid w:val="385F02D5"/>
    <w:rsid w:val="3867258C"/>
    <w:rsid w:val="38731364"/>
    <w:rsid w:val="387A4397"/>
    <w:rsid w:val="387D1B06"/>
    <w:rsid w:val="387D3ED4"/>
    <w:rsid w:val="38831870"/>
    <w:rsid w:val="38831F19"/>
    <w:rsid w:val="38837174"/>
    <w:rsid w:val="388F5960"/>
    <w:rsid w:val="389722A2"/>
    <w:rsid w:val="389B5EB7"/>
    <w:rsid w:val="38A15C6B"/>
    <w:rsid w:val="38AA37B9"/>
    <w:rsid w:val="38BA23E6"/>
    <w:rsid w:val="38C37C42"/>
    <w:rsid w:val="38D12C91"/>
    <w:rsid w:val="38DA5BE2"/>
    <w:rsid w:val="38E349E7"/>
    <w:rsid w:val="38EA7903"/>
    <w:rsid w:val="38F048BA"/>
    <w:rsid w:val="38F73FA5"/>
    <w:rsid w:val="38F90A7D"/>
    <w:rsid w:val="39012407"/>
    <w:rsid w:val="390635D7"/>
    <w:rsid w:val="390D09CF"/>
    <w:rsid w:val="390F6BF8"/>
    <w:rsid w:val="391136F4"/>
    <w:rsid w:val="391318E0"/>
    <w:rsid w:val="392326BF"/>
    <w:rsid w:val="394443D5"/>
    <w:rsid w:val="3948157E"/>
    <w:rsid w:val="395555D4"/>
    <w:rsid w:val="395B3B87"/>
    <w:rsid w:val="395E51BC"/>
    <w:rsid w:val="396122F5"/>
    <w:rsid w:val="396167D3"/>
    <w:rsid w:val="396C044E"/>
    <w:rsid w:val="397357E1"/>
    <w:rsid w:val="3974291A"/>
    <w:rsid w:val="397A3554"/>
    <w:rsid w:val="397B54A2"/>
    <w:rsid w:val="397C3D6C"/>
    <w:rsid w:val="398C51A8"/>
    <w:rsid w:val="398F3288"/>
    <w:rsid w:val="39902E32"/>
    <w:rsid w:val="39A45512"/>
    <w:rsid w:val="39A874E8"/>
    <w:rsid w:val="39CA0C6B"/>
    <w:rsid w:val="39CC721E"/>
    <w:rsid w:val="39CE22D2"/>
    <w:rsid w:val="39D51DE5"/>
    <w:rsid w:val="39D82886"/>
    <w:rsid w:val="39DD0211"/>
    <w:rsid w:val="39DD5C82"/>
    <w:rsid w:val="39E0408B"/>
    <w:rsid w:val="39E201AD"/>
    <w:rsid w:val="39FD052B"/>
    <w:rsid w:val="39FD7296"/>
    <w:rsid w:val="3A050A61"/>
    <w:rsid w:val="3A1717A2"/>
    <w:rsid w:val="3A2C0D88"/>
    <w:rsid w:val="3A3A0F35"/>
    <w:rsid w:val="3A5B03D7"/>
    <w:rsid w:val="3A662076"/>
    <w:rsid w:val="3A7663FB"/>
    <w:rsid w:val="3A7F6F62"/>
    <w:rsid w:val="3A8920E3"/>
    <w:rsid w:val="3A8A6F26"/>
    <w:rsid w:val="3A8B18ED"/>
    <w:rsid w:val="3A9B3770"/>
    <w:rsid w:val="3AB40EBA"/>
    <w:rsid w:val="3AB41012"/>
    <w:rsid w:val="3ABF0340"/>
    <w:rsid w:val="3AC058C7"/>
    <w:rsid w:val="3AC47EC3"/>
    <w:rsid w:val="3ACA05E3"/>
    <w:rsid w:val="3ACE2164"/>
    <w:rsid w:val="3ACF19A3"/>
    <w:rsid w:val="3B066C9A"/>
    <w:rsid w:val="3B1B31C9"/>
    <w:rsid w:val="3B2457DA"/>
    <w:rsid w:val="3B2957E3"/>
    <w:rsid w:val="3B2E0C51"/>
    <w:rsid w:val="3B333DDD"/>
    <w:rsid w:val="3B385567"/>
    <w:rsid w:val="3B3C6203"/>
    <w:rsid w:val="3B3D0E85"/>
    <w:rsid w:val="3B3F12DA"/>
    <w:rsid w:val="3B403B20"/>
    <w:rsid w:val="3B434D6B"/>
    <w:rsid w:val="3B4469DE"/>
    <w:rsid w:val="3B496C1B"/>
    <w:rsid w:val="3B514A99"/>
    <w:rsid w:val="3B5261C9"/>
    <w:rsid w:val="3B674CA9"/>
    <w:rsid w:val="3B68169C"/>
    <w:rsid w:val="3B8319A0"/>
    <w:rsid w:val="3B961032"/>
    <w:rsid w:val="3BA17842"/>
    <w:rsid w:val="3BA411C8"/>
    <w:rsid w:val="3BA7014B"/>
    <w:rsid w:val="3BAF2423"/>
    <w:rsid w:val="3BBC230F"/>
    <w:rsid w:val="3BC83523"/>
    <w:rsid w:val="3BC86522"/>
    <w:rsid w:val="3BE32424"/>
    <w:rsid w:val="3BE81096"/>
    <w:rsid w:val="3BEF0F0F"/>
    <w:rsid w:val="3BEF707C"/>
    <w:rsid w:val="3BF3295B"/>
    <w:rsid w:val="3C0E44D4"/>
    <w:rsid w:val="3C213FA8"/>
    <w:rsid w:val="3C227775"/>
    <w:rsid w:val="3C2735D4"/>
    <w:rsid w:val="3C2A6480"/>
    <w:rsid w:val="3C2B327D"/>
    <w:rsid w:val="3C2F0B9F"/>
    <w:rsid w:val="3C305D6E"/>
    <w:rsid w:val="3C382266"/>
    <w:rsid w:val="3C391DD4"/>
    <w:rsid w:val="3C3E3C63"/>
    <w:rsid w:val="3C43718E"/>
    <w:rsid w:val="3C463576"/>
    <w:rsid w:val="3C472A0E"/>
    <w:rsid w:val="3C5E23E6"/>
    <w:rsid w:val="3C5F1085"/>
    <w:rsid w:val="3C63529D"/>
    <w:rsid w:val="3C6436EA"/>
    <w:rsid w:val="3C657A3E"/>
    <w:rsid w:val="3C6727DF"/>
    <w:rsid w:val="3C6E6FCF"/>
    <w:rsid w:val="3C8D4BE6"/>
    <w:rsid w:val="3CA02607"/>
    <w:rsid w:val="3CAB7D63"/>
    <w:rsid w:val="3CAD4591"/>
    <w:rsid w:val="3CC527C1"/>
    <w:rsid w:val="3CCA0754"/>
    <w:rsid w:val="3CCC58A2"/>
    <w:rsid w:val="3CDA0620"/>
    <w:rsid w:val="3CE04B7A"/>
    <w:rsid w:val="3CE3763E"/>
    <w:rsid w:val="3CEA37D7"/>
    <w:rsid w:val="3CF71419"/>
    <w:rsid w:val="3CFA508D"/>
    <w:rsid w:val="3D0A3F6B"/>
    <w:rsid w:val="3D0C0C45"/>
    <w:rsid w:val="3D170712"/>
    <w:rsid w:val="3D1721C0"/>
    <w:rsid w:val="3D1C61CA"/>
    <w:rsid w:val="3D227735"/>
    <w:rsid w:val="3D28077F"/>
    <w:rsid w:val="3D32568D"/>
    <w:rsid w:val="3D573277"/>
    <w:rsid w:val="3D605F73"/>
    <w:rsid w:val="3D6A1B4C"/>
    <w:rsid w:val="3D6D6539"/>
    <w:rsid w:val="3D7E29F6"/>
    <w:rsid w:val="3D91714B"/>
    <w:rsid w:val="3DA2705B"/>
    <w:rsid w:val="3DA53539"/>
    <w:rsid w:val="3DB0458E"/>
    <w:rsid w:val="3DB35694"/>
    <w:rsid w:val="3DB43634"/>
    <w:rsid w:val="3DB71B33"/>
    <w:rsid w:val="3DB911D4"/>
    <w:rsid w:val="3DCA4D98"/>
    <w:rsid w:val="3DDB632B"/>
    <w:rsid w:val="3DDF227B"/>
    <w:rsid w:val="3DE577D0"/>
    <w:rsid w:val="3DE9500F"/>
    <w:rsid w:val="3DF446E7"/>
    <w:rsid w:val="3DFE29BC"/>
    <w:rsid w:val="3E0A013E"/>
    <w:rsid w:val="3E13386A"/>
    <w:rsid w:val="3E2829A8"/>
    <w:rsid w:val="3E284CAD"/>
    <w:rsid w:val="3E3D6BE8"/>
    <w:rsid w:val="3E4D5AA5"/>
    <w:rsid w:val="3E4F4D95"/>
    <w:rsid w:val="3E5C1C0B"/>
    <w:rsid w:val="3E5D1382"/>
    <w:rsid w:val="3E605D7B"/>
    <w:rsid w:val="3E613884"/>
    <w:rsid w:val="3E640B33"/>
    <w:rsid w:val="3E671F5B"/>
    <w:rsid w:val="3E680161"/>
    <w:rsid w:val="3E696B7E"/>
    <w:rsid w:val="3E6B55A3"/>
    <w:rsid w:val="3E7051ED"/>
    <w:rsid w:val="3E707498"/>
    <w:rsid w:val="3E7567DF"/>
    <w:rsid w:val="3E782FDC"/>
    <w:rsid w:val="3E7B0AF2"/>
    <w:rsid w:val="3E8F178D"/>
    <w:rsid w:val="3E906406"/>
    <w:rsid w:val="3E91532E"/>
    <w:rsid w:val="3E9970E7"/>
    <w:rsid w:val="3EA4146C"/>
    <w:rsid w:val="3EAD648A"/>
    <w:rsid w:val="3EBB4AEE"/>
    <w:rsid w:val="3EC33289"/>
    <w:rsid w:val="3EC97967"/>
    <w:rsid w:val="3ECA0657"/>
    <w:rsid w:val="3ECC0FDD"/>
    <w:rsid w:val="3ECF6094"/>
    <w:rsid w:val="3EDE6D1E"/>
    <w:rsid w:val="3EE55C57"/>
    <w:rsid w:val="3F036EB6"/>
    <w:rsid w:val="3F0F7AE2"/>
    <w:rsid w:val="3F186F17"/>
    <w:rsid w:val="3F2269B3"/>
    <w:rsid w:val="3F236909"/>
    <w:rsid w:val="3F316D95"/>
    <w:rsid w:val="3F34364E"/>
    <w:rsid w:val="3F3D6303"/>
    <w:rsid w:val="3F3E75F0"/>
    <w:rsid w:val="3F5453E8"/>
    <w:rsid w:val="3F5A7FC0"/>
    <w:rsid w:val="3F5C181C"/>
    <w:rsid w:val="3F634BD5"/>
    <w:rsid w:val="3F6B59AE"/>
    <w:rsid w:val="3F732B39"/>
    <w:rsid w:val="3FAE2AC7"/>
    <w:rsid w:val="3FB0000E"/>
    <w:rsid w:val="3FB005D8"/>
    <w:rsid w:val="3FB05F40"/>
    <w:rsid w:val="3FB12920"/>
    <w:rsid w:val="3FB400A8"/>
    <w:rsid w:val="3FBC72A1"/>
    <w:rsid w:val="3FBD191B"/>
    <w:rsid w:val="3FC71D63"/>
    <w:rsid w:val="3FD74950"/>
    <w:rsid w:val="3FE5377F"/>
    <w:rsid w:val="40006336"/>
    <w:rsid w:val="40040006"/>
    <w:rsid w:val="400B5238"/>
    <w:rsid w:val="40104FD1"/>
    <w:rsid w:val="40151314"/>
    <w:rsid w:val="40161F75"/>
    <w:rsid w:val="401A51BC"/>
    <w:rsid w:val="402B6F32"/>
    <w:rsid w:val="4035462F"/>
    <w:rsid w:val="404D2230"/>
    <w:rsid w:val="404F5D16"/>
    <w:rsid w:val="405B1F66"/>
    <w:rsid w:val="4066620A"/>
    <w:rsid w:val="406978DD"/>
    <w:rsid w:val="406B5E40"/>
    <w:rsid w:val="40741E03"/>
    <w:rsid w:val="407D2537"/>
    <w:rsid w:val="40821699"/>
    <w:rsid w:val="408E7728"/>
    <w:rsid w:val="40922062"/>
    <w:rsid w:val="409764F0"/>
    <w:rsid w:val="409C6247"/>
    <w:rsid w:val="40B969ED"/>
    <w:rsid w:val="40D14E28"/>
    <w:rsid w:val="40D82B71"/>
    <w:rsid w:val="40DA2E5E"/>
    <w:rsid w:val="40DD0AB7"/>
    <w:rsid w:val="40E32783"/>
    <w:rsid w:val="40EB65DD"/>
    <w:rsid w:val="40EC2B2F"/>
    <w:rsid w:val="40EF658B"/>
    <w:rsid w:val="40F20AB7"/>
    <w:rsid w:val="40F468BD"/>
    <w:rsid w:val="41155C7D"/>
    <w:rsid w:val="411D2572"/>
    <w:rsid w:val="411F3F16"/>
    <w:rsid w:val="41220CE1"/>
    <w:rsid w:val="41307274"/>
    <w:rsid w:val="41313857"/>
    <w:rsid w:val="413919D8"/>
    <w:rsid w:val="413C0683"/>
    <w:rsid w:val="4149513D"/>
    <w:rsid w:val="414C289C"/>
    <w:rsid w:val="41556A1E"/>
    <w:rsid w:val="4162705B"/>
    <w:rsid w:val="41684027"/>
    <w:rsid w:val="41691A55"/>
    <w:rsid w:val="41756B8B"/>
    <w:rsid w:val="418270C8"/>
    <w:rsid w:val="41846666"/>
    <w:rsid w:val="418F5CEE"/>
    <w:rsid w:val="41956FC3"/>
    <w:rsid w:val="419D59DD"/>
    <w:rsid w:val="419F2EA3"/>
    <w:rsid w:val="41A55979"/>
    <w:rsid w:val="41AF5D96"/>
    <w:rsid w:val="41B34155"/>
    <w:rsid w:val="41B80FEA"/>
    <w:rsid w:val="41BB789D"/>
    <w:rsid w:val="41CB2E95"/>
    <w:rsid w:val="41CE5D6F"/>
    <w:rsid w:val="41CE5E80"/>
    <w:rsid w:val="41D47CA6"/>
    <w:rsid w:val="41D9224B"/>
    <w:rsid w:val="41DA7E07"/>
    <w:rsid w:val="41DB3703"/>
    <w:rsid w:val="41DC06D8"/>
    <w:rsid w:val="41DD216B"/>
    <w:rsid w:val="41DE58F1"/>
    <w:rsid w:val="41E626FC"/>
    <w:rsid w:val="41F84C3F"/>
    <w:rsid w:val="42020CB8"/>
    <w:rsid w:val="42053DF6"/>
    <w:rsid w:val="42077BE9"/>
    <w:rsid w:val="420D1B70"/>
    <w:rsid w:val="42101F23"/>
    <w:rsid w:val="421E7EC4"/>
    <w:rsid w:val="42267A5C"/>
    <w:rsid w:val="422F407F"/>
    <w:rsid w:val="423730E7"/>
    <w:rsid w:val="42393A30"/>
    <w:rsid w:val="424478C7"/>
    <w:rsid w:val="42525529"/>
    <w:rsid w:val="42642385"/>
    <w:rsid w:val="42682E1D"/>
    <w:rsid w:val="42690B0A"/>
    <w:rsid w:val="426F4B6A"/>
    <w:rsid w:val="426F6060"/>
    <w:rsid w:val="427F4441"/>
    <w:rsid w:val="42875AF2"/>
    <w:rsid w:val="42884F70"/>
    <w:rsid w:val="428C5320"/>
    <w:rsid w:val="429123AD"/>
    <w:rsid w:val="42B545E4"/>
    <w:rsid w:val="42C53FC1"/>
    <w:rsid w:val="42CE0A01"/>
    <w:rsid w:val="42D163E8"/>
    <w:rsid w:val="42D24020"/>
    <w:rsid w:val="42D74CB5"/>
    <w:rsid w:val="42DC3FE9"/>
    <w:rsid w:val="42F36C4D"/>
    <w:rsid w:val="430742C8"/>
    <w:rsid w:val="431710BE"/>
    <w:rsid w:val="435278F3"/>
    <w:rsid w:val="43652ADE"/>
    <w:rsid w:val="4367719E"/>
    <w:rsid w:val="436B02D7"/>
    <w:rsid w:val="436F2539"/>
    <w:rsid w:val="43720472"/>
    <w:rsid w:val="437602C4"/>
    <w:rsid w:val="43796616"/>
    <w:rsid w:val="43A655CA"/>
    <w:rsid w:val="43AB3053"/>
    <w:rsid w:val="43AF6312"/>
    <w:rsid w:val="43B20353"/>
    <w:rsid w:val="43B60B7C"/>
    <w:rsid w:val="43BB792D"/>
    <w:rsid w:val="43C81399"/>
    <w:rsid w:val="43C912ED"/>
    <w:rsid w:val="43CE0EF2"/>
    <w:rsid w:val="43D057F1"/>
    <w:rsid w:val="43D1414A"/>
    <w:rsid w:val="43D26B6F"/>
    <w:rsid w:val="43D67E4D"/>
    <w:rsid w:val="43DD67D9"/>
    <w:rsid w:val="43DF56DB"/>
    <w:rsid w:val="43E21A42"/>
    <w:rsid w:val="43F61EFF"/>
    <w:rsid w:val="43F6705C"/>
    <w:rsid w:val="43F74C76"/>
    <w:rsid w:val="43FB7B69"/>
    <w:rsid w:val="44053304"/>
    <w:rsid w:val="440C0538"/>
    <w:rsid w:val="440E0A54"/>
    <w:rsid w:val="44141688"/>
    <w:rsid w:val="44175663"/>
    <w:rsid w:val="442A3260"/>
    <w:rsid w:val="443A68E8"/>
    <w:rsid w:val="44417472"/>
    <w:rsid w:val="44493192"/>
    <w:rsid w:val="444C7891"/>
    <w:rsid w:val="44504583"/>
    <w:rsid w:val="44546900"/>
    <w:rsid w:val="445A7412"/>
    <w:rsid w:val="44615D4D"/>
    <w:rsid w:val="446263B0"/>
    <w:rsid w:val="446933DB"/>
    <w:rsid w:val="447C21A2"/>
    <w:rsid w:val="447E71DD"/>
    <w:rsid w:val="448133F2"/>
    <w:rsid w:val="44824455"/>
    <w:rsid w:val="44897E0A"/>
    <w:rsid w:val="4490797F"/>
    <w:rsid w:val="44A24CE2"/>
    <w:rsid w:val="44AC6AA0"/>
    <w:rsid w:val="44C02FBC"/>
    <w:rsid w:val="44C9166B"/>
    <w:rsid w:val="44CF1F14"/>
    <w:rsid w:val="44D43250"/>
    <w:rsid w:val="44D477D8"/>
    <w:rsid w:val="44DB79B8"/>
    <w:rsid w:val="44E70967"/>
    <w:rsid w:val="44E76148"/>
    <w:rsid w:val="44EF65A4"/>
    <w:rsid w:val="44F43C87"/>
    <w:rsid w:val="4503052C"/>
    <w:rsid w:val="450353C6"/>
    <w:rsid w:val="4509333F"/>
    <w:rsid w:val="45116BFC"/>
    <w:rsid w:val="45185DAE"/>
    <w:rsid w:val="451A4682"/>
    <w:rsid w:val="45273624"/>
    <w:rsid w:val="452A7E19"/>
    <w:rsid w:val="4535604E"/>
    <w:rsid w:val="45516ED2"/>
    <w:rsid w:val="45534F41"/>
    <w:rsid w:val="45610A71"/>
    <w:rsid w:val="45764D5C"/>
    <w:rsid w:val="45783A8C"/>
    <w:rsid w:val="458D1EE2"/>
    <w:rsid w:val="459640A4"/>
    <w:rsid w:val="45975583"/>
    <w:rsid w:val="45A23E4F"/>
    <w:rsid w:val="45A864FE"/>
    <w:rsid w:val="45BA2A70"/>
    <w:rsid w:val="45BF007D"/>
    <w:rsid w:val="45C110D3"/>
    <w:rsid w:val="45D04FEF"/>
    <w:rsid w:val="45D33485"/>
    <w:rsid w:val="45EE5900"/>
    <w:rsid w:val="46092E53"/>
    <w:rsid w:val="46210C9F"/>
    <w:rsid w:val="462214B8"/>
    <w:rsid w:val="4626307F"/>
    <w:rsid w:val="462D5FEF"/>
    <w:rsid w:val="46423B27"/>
    <w:rsid w:val="464B0531"/>
    <w:rsid w:val="464C3A05"/>
    <w:rsid w:val="464E1734"/>
    <w:rsid w:val="46511E10"/>
    <w:rsid w:val="465448F2"/>
    <w:rsid w:val="465951E1"/>
    <w:rsid w:val="465E3098"/>
    <w:rsid w:val="46623D1B"/>
    <w:rsid w:val="46672F35"/>
    <w:rsid w:val="4669507C"/>
    <w:rsid w:val="466C2476"/>
    <w:rsid w:val="466C3BF2"/>
    <w:rsid w:val="466D4269"/>
    <w:rsid w:val="46753A27"/>
    <w:rsid w:val="46862C38"/>
    <w:rsid w:val="468B615B"/>
    <w:rsid w:val="46943FE6"/>
    <w:rsid w:val="469C5366"/>
    <w:rsid w:val="46B10DAF"/>
    <w:rsid w:val="46BE554E"/>
    <w:rsid w:val="46C45D65"/>
    <w:rsid w:val="46D07416"/>
    <w:rsid w:val="46D22372"/>
    <w:rsid w:val="46E74CC0"/>
    <w:rsid w:val="46F24A9C"/>
    <w:rsid w:val="46F94ACB"/>
    <w:rsid w:val="47015186"/>
    <w:rsid w:val="470D0168"/>
    <w:rsid w:val="470D4174"/>
    <w:rsid w:val="4715699E"/>
    <w:rsid w:val="47221EC0"/>
    <w:rsid w:val="472A79E0"/>
    <w:rsid w:val="472C105B"/>
    <w:rsid w:val="4736137F"/>
    <w:rsid w:val="473769F4"/>
    <w:rsid w:val="47396794"/>
    <w:rsid w:val="473D5031"/>
    <w:rsid w:val="47436F93"/>
    <w:rsid w:val="47497CED"/>
    <w:rsid w:val="474E3CA6"/>
    <w:rsid w:val="474F2EE8"/>
    <w:rsid w:val="47585BA0"/>
    <w:rsid w:val="475A1D2F"/>
    <w:rsid w:val="475A7944"/>
    <w:rsid w:val="476147F4"/>
    <w:rsid w:val="476436A4"/>
    <w:rsid w:val="47754C2E"/>
    <w:rsid w:val="47823144"/>
    <w:rsid w:val="478821C8"/>
    <w:rsid w:val="478B13A5"/>
    <w:rsid w:val="478F23A2"/>
    <w:rsid w:val="479876C5"/>
    <w:rsid w:val="47A2298A"/>
    <w:rsid w:val="47AC49D7"/>
    <w:rsid w:val="47C30CFF"/>
    <w:rsid w:val="47CA3C56"/>
    <w:rsid w:val="47D11B3F"/>
    <w:rsid w:val="47D538BF"/>
    <w:rsid w:val="47EC3BCC"/>
    <w:rsid w:val="47EF48E2"/>
    <w:rsid w:val="47FE5712"/>
    <w:rsid w:val="48056817"/>
    <w:rsid w:val="48071009"/>
    <w:rsid w:val="48160910"/>
    <w:rsid w:val="481D2E0A"/>
    <w:rsid w:val="482917DE"/>
    <w:rsid w:val="48312257"/>
    <w:rsid w:val="48314497"/>
    <w:rsid w:val="48454B43"/>
    <w:rsid w:val="484E2F53"/>
    <w:rsid w:val="484E459F"/>
    <w:rsid w:val="485174E3"/>
    <w:rsid w:val="486E0331"/>
    <w:rsid w:val="4873740A"/>
    <w:rsid w:val="4877279F"/>
    <w:rsid w:val="48832C3B"/>
    <w:rsid w:val="489176F0"/>
    <w:rsid w:val="48A01DC6"/>
    <w:rsid w:val="48AE7B29"/>
    <w:rsid w:val="48B34240"/>
    <w:rsid w:val="48B43467"/>
    <w:rsid w:val="48BD60A8"/>
    <w:rsid w:val="48C85917"/>
    <w:rsid w:val="48D05068"/>
    <w:rsid w:val="48D72399"/>
    <w:rsid w:val="48D926AD"/>
    <w:rsid w:val="48DA3444"/>
    <w:rsid w:val="48DC03DD"/>
    <w:rsid w:val="48F2474B"/>
    <w:rsid w:val="4900376F"/>
    <w:rsid w:val="49031DE2"/>
    <w:rsid w:val="49046090"/>
    <w:rsid w:val="490578A2"/>
    <w:rsid w:val="490B6702"/>
    <w:rsid w:val="4924152D"/>
    <w:rsid w:val="4924574C"/>
    <w:rsid w:val="492B380B"/>
    <w:rsid w:val="49306605"/>
    <w:rsid w:val="4932429E"/>
    <w:rsid w:val="493317E9"/>
    <w:rsid w:val="4933521B"/>
    <w:rsid w:val="49344B77"/>
    <w:rsid w:val="494827F3"/>
    <w:rsid w:val="49515037"/>
    <w:rsid w:val="495441DE"/>
    <w:rsid w:val="49590D13"/>
    <w:rsid w:val="496603CB"/>
    <w:rsid w:val="49722813"/>
    <w:rsid w:val="49727215"/>
    <w:rsid w:val="49752438"/>
    <w:rsid w:val="497E3FC3"/>
    <w:rsid w:val="49825179"/>
    <w:rsid w:val="49827172"/>
    <w:rsid w:val="49857B3C"/>
    <w:rsid w:val="49891345"/>
    <w:rsid w:val="498F3090"/>
    <w:rsid w:val="499049E3"/>
    <w:rsid w:val="49A30128"/>
    <w:rsid w:val="49B01BAE"/>
    <w:rsid w:val="49B4583D"/>
    <w:rsid w:val="49B54250"/>
    <w:rsid w:val="49B61DD3"/>
    <w:rsid w:val="49B8517B"/>
    <w:rsid w:val="49B854B2"/>
    <w:rsid w:val="49C2169A"/>
    <w:rsid w:val="49C41D97"/>
    <w:rsid w:val="49C42A10"/>
    <w:rsid w:val="49C76AA2"/>
    <w:rsid w:val="49CD79A4"/>
    <w:rsid w:val="49D62A28"/>
    <w:rsid w:val="49DF3699"/>
    <w:rsid w:val="49EB61F2"/>
    <w:rsid w:val="49EC674C"/>
    <w:rsid w:val="49EC7055"/>
    <w:rsid w:val="49F47F64"/>
    <w:rsid w:val="49FD7E22"/>
    <w:rsid w:val="4A0E2BA8"/>
    <w:rsid w:val="4A111BFA"/>
    <w:rsid w:val="4A267576"/>
    <w:rsid w:val="4A280B0E"/>
    <w:rsid w:val="4A2C3C74"/>
    <w:rsid w:val="4A2D7BC9"/>
    <w:rsid w:val="4A327B46"/>
    <w:rsid w:val="4A3845C5"/>
    <w:rsid w:val="4A3B2897"/>
    <w:rsid w:val="4A3B2DB5"/>
    <w:rsid w:val="4A4044A1"/>
    <w:rsid w:val="4A4B3F70"/>
    <w:rsid w:val="4A51261B"/>
    <w:rsid w:val="4A543304"/>
    <w:rsid w:val="4A5D123E"/>
    <w:rsid w:val="4A5F2B0E"/>
    <w:rsid w:val="4A6075A3"/>
    <w:rsid w:val="4A6514DB"/>
    <w:rsid w:val="4A664A90"/>
    <w:rsid w:val="4A80341B"/>
    <w:rsid w:val="4A811C9F"/>
    <w:rsid w:val="4A816144"/>
    <w:rsid w:val="4A8A1046"/>
    <w:rsid w:val="4A8D2F47"/>
    <w:rsid w:val="4A9621B8"/>
    <w:rsid w:val="4A98092D"/>
    <w:rsid w:val="4A9B3DA6"/>
    <w:rsid w:val="4AA11A7B"/>
    <w:rsid w:val="4AAB13E0"/>
    <w:rsid w:val="4AB604A6"/>
    <w:rsid w:val="4AD32458"/>
    <w:rsid w:val="4AD75D13"/>
    <w:rsid w:val="4AE67BDD"/>
    <w:rsid w:val="4AF41A83"/>
    <w:rsid w:val="4AF64EB3"/>
    <w:rsid w:val="4AF854A5"/>
    <w:rsid w:val="4AFE02EB"/>
    <w:rsid w:val="4B0B061E"/>
    <w:rsid w:val="4B116C3A"/>
    <w:rsid w:val="4B1A31D2"/>
    <w:rsid w:val="4B1F2755"/>
    <w:rsid w:val="4B21349F"/>
    <w:rsid w:val="4B2947A3"/>
    <w:rsid w:val="4B3656CC"/>
    <w:rsid w:val="4B424673"/>
    <w:rsid w:val="4B43687B"/>
    <w:rsid w:val="4B4C4C91"/>
    <w:rsid w:val="4B4F585E"/>
    <w:rsid w:val="4B5066D3"/>
    <w:rsid w:val="4B524F5F"/>
    <w:rsid w:val="4B556C18"/>
    <w:rsid w:val="4B5B00CB"/>
    <w:rsid w:val="4B5C2A02"/>
    <w:rsid w:val="4B5D1505"/>
    <w:rsid w:val="4B5D2F0E"/>
    <w:rsid w:val="4B670EEB"/>
    <w:rsid w:val="4B6C76C1"/>
    <w:rsid w:val="4B700715"/>
    <w:rsid w:val="4B7837FE"/>
    <w:rsid w:val="4B842536"/>
    <w:rsid w:val="4B857330"/>
    <w:rsid w:val="4B8D6483"/>
    <w:rsid w:val="4B9426D6"/>
    <w:rsid w:val="4B9F7B27"/>
    <w:rsid w:val="4BA9427B"/>
    <w:rsid w:val="4BB21BF5"/>
    <w:rsid w:val="4BC93340"/>
    <w:rsid w:val="4BCD5D8A"/>
    <w:rsid w:val="4BD667C4"/>
    <w:rsid w:val="4BDB6730"/>
    <w:rsid w:val="4BE50349"/>
    <w:rsid w:val="4BF11E1A"/>
    <w:rsid w:val="4BF9699A"/>
    <w:rsid w:val="4C0A56D4"/>
    <w:rsid w:val="4C0D086F"/>
    <w:rsid w:val="4C1233AD"/>
    <w:rsid w:val="4C1648A2"/>
    <w:rsid w:val="4C185ADC"/>
    <w:rsid w:val="4C1F4B55"/>
    <w:rsid w:val="4C317727"/>
    <w:rsid w:val="4C364701"/>
    <w:rsid w:val="4C4233CF"/>
    <w:rsid w:val="4C4502B3"/>
    <w:rsid w:val="4C4C2ECA"/>
    <w:rsid w:val="4C5114DD"/>
    <w:rsid w:val="4C5B4E2F"/>
    <w:rsid w:val="4C64188F"/>
    <w:rsid w:val="4C6B203A"/>
    <w:rsid w:val="4C9D5333"/>
    <w:rsid w:val="4CAE1A3B"/>
    <w:rsid w:val="4CB94893"/>
    <w:rsid w:val="4CD40156"/>
    <w:rsid w:val="4CD97F00"/>
    <w:rsid w:val="4CE507BB"/>
    <w:rsid w:val="4CE84B1E"/>
    <w:rsid w:val="4CF84925"/>
    <w:rsid w:val="4CFB7174"/>
    <w:rsid w:val="4D0230A4"/>
    <w:rsid w:val="4D0541DC"/>
    <w:rsid w:val="4D0828E9"/>
    <w:rsid w:val="4D083099"/>
    <w:rsid w:val="4D08524C"/>
    <w:rsid w:val="4D0E0C13"/>
    <w:rsid w:val="4D1413B4"/>
    <w:rsid w:val="4D16583F"/>
    <w:rsid w:val="4D17385C"/>
    <w:rsid w:val="4D4B4412"/>
    <w:rsid w:val="4D503413"/>
    <w:rsid w:val="4D6A54AB"/>
    <w:rsid w:val="4D815267"/>
    <w:rsid w:val="4D8C0894"/>
    <w:rsid w:val="4D8F1DE7"/>
    <w:rsid w:val="4D983C7F"/>
    <w:rsid w:val="4D9D0D26"/>
    <w:rsid w:val="4DA20DFB"/>
    <w:rsid w:val="4DAD5859"/>
    <w:rsid w:val="4DB85C63"/>
    <w:rsid w:val="4DB9274D"/>
    <w:rsid w:val="4DCA0A14"/>
    <w:rsid w:val="4DE15ABD"/>
    <w:rsid w:val="4DE91693"/>
    <w:rsid w:val="4DEE3FB3"/>
    <w:rsid w:val="4DF20E52"/>
    <w:rsid w:val="4DF52C1C"/>
    <w:rsid w:val="4DFE09DF"/>
    <w:rsid w:val="4DFF3390"/>
    <w:rsid w:val="4E0144FA"/>
    <w:rsid w:val="4E055215"/>
    <w:rsid w:val="4E0A289D"/>
    <w:rsid w:val="4E0B0488"/>
    <w:rsid w:val="4E0B62AA"/>
    <w:rsid w:val="4E10399C"/>
    <w:rsid w:val="4E2D7F67"/>
    <w:rsid w:val="4E444909"/>
    <w:rsid w:val="4E604970"/>
    <w:rsid w:val="4E691FCA"/>
    <w:rsid w:val="4E70427F"/>
    <w:rsid w:val="4E7B161E"/>
    <w:rsid w:val="4E8C412A"/>
    <w:rsid w:val="4E9F52CA"/>
    <w:rsid w:val="4EB44996"/>
    <w:rsid w:val="4EBA01BB"/>
    <w:rsid w:val="4EC1374B"/>
    <w:rsid w:val="4ECD2946"/>
    <w:rsid w:val="4ED147C1"/>
    <w:rsid w:val="4ED374D0"/>
    <w:rsid w:val="4EE27D7A"/>
    <w:rsid w:val="4EE95170"/>
    <w:rsid w:val="4EED6AB4"/>
    <w:rsid w:val="4EEE4967"/>
    <w:rsid w:val="4EFF10AB"/>
    <w:rsid w:val="4F0711B8"/>
    <w:rsid w:val="4F0D1F32"/>
    <w:rsid w:val="4F105E49"/>
    <w:rsid w:val="4F1A4447"/>
    <w:rsid w:val="4F1E452A"/>
    <w:rsid w:val="4F245FE4"/>
    <w:rsid w:val="4F32541F"/>
    <w:rsid w:val="4F3A6287"/>
    <w:rsid w:val="4F3B2C0D"/>
    <w:rsid w:val="4F3F0431"/>
    <w:rsid w:val="4F404EE0"/>
    <w:rsid w:val="4F4A2CF4"/>
    <w:rsid w:val="4F503EC3"/>
    <w:rsid w:val="4F65431D"/>
    <w:rsid w:val="4F703170"/>
    <w:rsid w:val="4F83000A"/>
    <w:rsid w:val="4F9B16D6"/>
    <w:rsid w:val="4FA856E5"/>
    <w:rsid w:val="4FB01DB0"/>
    <w:rsid w:val="4FC44ABC"/>
    <w:rsid w:val="4FD33681"/>
    <w:rsid w:val="4FDD4119"/>
    <w:rsid w:val="4FDF5DEF"/>
    <w:rsid w:val="4FE06B2A"/>
    <w:rsid w:val="4FE859C5"/>
    <w:rsid w:val="4FEC47F8"/>
    <w:rsid w:val="4FF4044F"/>
    <w:rsid w:val="501244E2"/>
    <w:rsid w:val="502D57C0"/>
    <w:rsid w:val="503451F3"/>
    <w:rsid w:val="50397B2D"/>
    <w:rsid w:val="50440A06"/>
    <w:rsid w:val="505644F6"/>
    <w:rsid w:val="50785C87"/>
    <w:rsid w:val="508250F6"/>
    <w:rsid w:val="50963EF0"/>
    <w:rsid w:val="509E3987"/>
    <w:rsid w:val="50A06EBA"/>
    <w:rsid w:val="50A92DDB"/>
    <w:rsid w:val="50B93817"/>
    <w:rsid w:val="50BE405E"/>
    <w:rsid w:val="50C6577B"/>
    <w:rsid w:val="50C75459"/>
    <w:rsid w:val="50D16BC1"/>
    <w:rsid w:val="50D77449"/>
    <w:rsid w:val="50E2074A"/>
    <w:rsid w:val="510A147E"/>
    <w:rsid w:val="51123DFB"/>
    <w:rsid w:val="51150696"/>
    <w:rsid w:val="511600C5"/>
    <w:rsid w:val="511729C7"/>
    <w:rsid w:val="511E4130"/>
    <w:rsid w:val="511F0A79"/>
    <w:rsid w:val="51215BB8"/>
    <w:rsid w:val="51235A2B"/>
    <w:rsid w:val="513B53D4"/>
    <w:rsid w:val="513C181E"/>
    <w:rsid w:val="51462300"/>
    <w:rsid w:val="51496907"/>
    <w:rsid w:val="51576E2F"/>
    <w:rsid w:val="515C7FB9"/>
    <w:rsid w:val="515D4403"/>
    <w:rsid w:val="516D6307"/>
    <w:rsid w:val="517065DD"/>
    <w:rsid w:val="517270B8"/>
    <w:rsid w:val="51792B6A"/>
    <w:rsid w:val="517A55E8"/>
    <w:rsid w:val="517C5C51"/>
    <w:rsid w:val="5182302A"/>
    <w:rsid w:val="518F2363"/>
    <w:rsid w:val="51963BA3"/>
    <w:rsid w:val="519B00B4"/>
    <w:rsid w:val="519F7FAC"/>
    <w:rsid w:val="51A018B7"/>
    <w:rsid w:val="51A14737"/>
    <w:rsid w:val="51A2158E"/>
    <w:rsid w:val="51A8382E"/>
    <w:rsid w:val="51A87469"/>
    <w:rsid w:val="51AB4F07"/>
    <w:rsid w:val="51B67F42"/>
    <w:rsid w:val="51BB6817"/>
    <w:rsid w:val="51C96605"/>
    <w:rsid w:val="51CA475C"/>
    <w:rsid w:val="51CE5C4C"/>
    <w:rsid w:val="51D756BE"/>
    <w:rsid w:val="51DD57B6"/>
    <w:rsid w:val="51DF350E"/>
    <w:rsid w:val="51DF412A"/>
    <w:rsid w:val="51E34CC5"/>
    <w:rsid w:val="51FA173F"/>
    <w:rsid w:val="51FF3157"/>
    <w:rsid w:val="52015315"/>
    <w:rsid w:val="520B2C6D"/>
    <w:rsid w:val="52133C34"/>
    <w:rsid w:val="52140036"/>
    <w:rsid w:val="5219726B"/>
    <w:rsid w:val="521F224C"/>
    <w:rsid w:val="522638BE"/>
    <w:rsid w:val="5229322C"/>
    <w:rsid w:val="522A0C52"/>
    <w:rsid w:val="522A1EF5"/>
    <w:rsid w:val="523D30C4"/>
    <w:rsid w:val="52403BF9"/>
    <w:rsid w:val="524150BF"/>
    <w:rsid w:val="5248662E"/>
    <w:rsid w:val="524D1DE7"/>
    <w:rsid w:val="52586AC4"/>
    <w:rsid w:val="527B219E"/>
    <w:rsid w:val="528449E8"/>
    <w:rsid w:val="52871B8B"/>
    <w:rsid w:val="52876BEF"/>
    <w:rsid w:val="528B2294"/>
    <w:rsid w:val="52987A13"/>
    <w:rsid w:val="52995E1D"/>
    <w:rsid w:val="52A37469"/>
    <w:rsid w:val="52B3751A"/>
    <w:rsid w:val="52BC333B"/>
    <w:rsid w:val="52CE1A3C"/>
    <w:rsid w:val="52D4020B"/>
    <w:rsid w:val="52E54444"/>
    <w:rsid w:val="52FF4BFF"/>
    <w:rsid w:val="53030788"/>
    <w:rsid w:val="530D327B"/>
    <w:rsid w:val="53170583"/>
    <w:rsid w:val="531B78A4"/>
    <w:rsid w:val="53234FBA"/>
    <w:rsid w:val="532663CB"/>
    <w:rsid w:val="533C7CC3"/>
    <w:rsid w:val="534731E7"/>
    <w:rsid w:val="534E4A4F"/>
    <w:rsid w:val="53596866"/>
    <w:rsid w:val="536870CF"/>
    <w:rsid w:val="53840791"/>
    <w:rsid w:val="538728EC"/>
    <w:rsid w:val="538D5A45"/>
    <w:rsid w:val="53930A17"/>
    <w:rsid w:val="53A17B6E"/>
    <w:rsid w:val="53A345E8"/>
    <w:rsid w:val="53AA69EC"/>
    <w:rsid w:val="53B94E28"/>
    <w:rsid w:val="53BA2060"/>
    <w:rsid w:val="53BD66C9"/>
    <w:rsid w:val="53E93558"/>
    <w:rsid w:val="53EC4262"/>
    <w:rsid w:val="53F97037"/>
    <w:rsid w:val="540353D1"/>
    <w:rsid w:val="54060F9D"/>
    <w:rsid w:val="540B2184"/>
    <w:rsid w:val="540F235E"/>
    <w:rsid w:val="541322F2"/>
    <w:rsid w:val="54173A92"/>
    <w:rsid w:val="54213DCB"/>
    <w:rsid w:val="54222B22"/>
    <w:rsid w:val="542C7A98"/>
    <w:rsid w:val="54367746"/>
    <w:rsid w:val="543B63E2"/>
    <w:rsid w:val="544615F0"/>
    <w:rsid w:val="544909BE"/>
    <w:rsid w:val="544E2DBF"/>
    <w:rsid w:val="544E3809"/>
    <w:rsid w:val="545C145C"/>
    <w:rsid w:val="545D2C15"/>
    <w:rsid w:val="545E7B26"/>
    <w:rsid w:val="54605FBD"/>
    <w:rsid w:val="5463724D"/>
    <w:rsid w:val="54652DF3"/>
    <w:rsid w:val="54676070"/>
    <w:rsid w:val="546E0797"/>
    <w:rsid w:val="54761046"/>
    <w:rsid w:val="547F5C9A"/>
    <w:rsid w:val="54825E65"/>
    <w:rsid w:val="54892033"/>
    <w:rsid w:val="548A5B56"/>
    <w:rsid w:val="54A86A7C"/>
    <w:rsid w:val="54AF16DE"/>
    <w:rsid w:val="54B50CF1"/>
    <w:rsid w:val="54B95EEC"/>
    <w:rsid w:val="54C0394D"/>
    <w:rsid w:val="54CE39BB"/>
    <w:rsid w:val="54D166F6"/>
    <w:rsid w:val="54D71321"/>
    <w:rsid w:val="54D90BDE"/>
    <w:rsid w:val="54DA747E"/>
    <w:rsid w:val="54DC2EBD"/>
    <w:rsid w:val="54E131E2"/>
    <w:rsid w:val="54F43303"/>
    <w:rsid w:val="54F457BC"/>
    <w:rsid w:val="54FC2BCD"/>
    <w:rsid w:val="55131FEC"/>
    <w:rsid w:val="551630FC"/>
    <w:rsid w:val="5523557D"/>
    <w:rsid w:val="55301446"/>
    <w:rsid w:val="554307FE"/>
    <w:rsid w:val="554914F5"/>
    <w:rsid w:val="554C05D6"/>
    <w:rsid w:val="555F1B75"/>
    <w:rsid w:val="556A47BF"/>
    <w:rsid w:val="55733F59"/>
    <w:rsid w:val="55863FAB"/>
    <w:rsid w:val="559A3850"/>
    <w:rsid w:val="55A03D0C"/>
    <w:rsid w:val="55B81E3A"/>
    <w:rsid w:val="55C4407D"/>
    <w:rsid w:val="55C62557"/>
    <w:rsid w:val="55CC6981"/>
    <w:rsid w:val="55D02071"/>
    <w:rsid w:val="55D2248F"/>
    <w:rsid w:val="55D226E7"/>
    <w:rsid w:val="55DD159A"/>
    <w:rsid w:val="55DE46F8"/>
    <w:rsid w:val="55DF4042"/>
    <w:rsid w:val="55E85F28"/>
    <w:rsid w:val="55F15FDB"/>
    <w:rsid w:val="55F86847"/>
    <w:rsid w:val="55F97623"/>
    <w:rsid w:val="56217B10"/>
    <w:rsid w:val="56394636"/>
    <w:rsid w:val="564718FB"/>
    <w:rsid w:val="564D42F2"/>
    <w:rsid w:val="56510DF0"/>
    <w:rsid w:val="565B4EAE"/>
    <w:rsid w:val="565F6532"/>
    <w:rsid w:val="5662423A"/>
    <w:rsid w:val="56647180"/>
    <w:rsid w:val="566E7783"/>
    <w:rsid w:val="567574D3"/>
    <w:rsid w:val="567F1C8C"/>
    <w:rsid w:val="56853787"/>
    <w:rsid w:val="569128DB"/>
    <w:rsid w:val="56980CBC"/>
    <w:rsid w:val="56983D2A"/>
    <w:rsid w:val="569A2AE4"/>
    <w:rsid w:val="56A43F9B"/>
    <w:rsid w:val="56A44466"/>
    <w:rsid w:val="56A61297"/>
    <w:rsid w:val="56B66789"/>
    <w:rsid w:val="56BA4629"/>
    <w:rsid w:val="56C25536"/>
    <w:rsid w:val="56C27357"/>
    <w:rsid w:val="56C4073B"/>
    <w:rsid w:val="56D4259B"/>
    <w:rsid w:val="56DC433C"/>
    <w:rsid w:val="56DD0421"/>
    <w:rsid w:val="56E62A25"/>
    <w:rsid w:val="56E70E91"/>
    <w:rsid w:val="56E945D8"/>
    <w:rsid w:val="56F140FB"/>
    <w:rsid w:val="56FA2572"/>
    <w:rsid w:val="570F38FB"/>
    <w:rsid w:val="57317A2D"/>
    <w:rsid w:val="573343D5"/>
    <w:rsid w:val="574237A5"/>
    <w:rsid w:val="57480C7E"/>
    <w:rsid w:val="574E044C"/>
    <w:rsid w:val="577919F1"/>
    <w:rsid w:val="57837719"/>
    <w:rsid w:val="578F06BB"/>
    <w:rsid w:val="578F77B5"/>
    <w:rsid w:val="579537F7"/>
    <w:rsid w:val="579C19DA"/>
    <w:rsid w:val="57A54FDC"/>
    <w:rsid w:val="57AD5472"/>
    <w:rsid w:val="57C14AD0"/>
    <w:rsid w:val="57CA10D2"/>
    <w:rsid w:val="57CD6833"/>
    <w:rsid w:val="57D85DDE"/>
    <w:rsid w:val="57FD013B"/>
    <w:rsid w:val="57FF729E"/>
    <w:rsid w:val="58106CA6"/>
    <w:rsid w:val="58130A39"/>
    <w:rsid w:val="5814199B"/>
    <w:rsid w:val="581553C8"/>
    <w:rsid w:val="58176D45"/>
    <w:rsid w:val="58207C92"/>
    <w:rsid w:val="58247D50"/>
    <w:rsid w:val="58381E6A"/>
    <w:rsid w:val="583C62B7"/>
    <w:rsid w:val="5848185C"/>
    <w:rsid w:val="584F7D5F"/>
    <w:rsid w:val="585B1210"/>
    <w:rsid w:val="585E5941"/>
    <w:rsid w:val="585E782A"/>
    <w:rsid w:val="58656967"/>
    <w:rsid w:val="587E014A"/>
    <w:rsid w:val="5887397A"/>
    <w:rsid w:val="588D33E6"/>
    <w:rsid w:val="589A7317"/>
    <w:rsid w:val="58A04617"/>
    <w:rsid w:val="58A40196"/>
    <w:rsid w:val="58A545FC"/>
    <w:rsid w:val="58B038B4"/>
    <w:rsid w:val="58C42F9A"/>
    <w:rsid w:val="58CA623D"/>
    <w:rsid w:val="58E53FCB"/>
    <w:rsid w:val="58EA2C4B"/>
    <w:rsid w:val="58F10149"/>
    <w:rsid w:val="58F7366B"/>
    <w:rsid w:val="58F93F75"/>
    <w:rsid w:val="59042F7C"/>
    <w:rsid w:val="591050F0"/>
    <w:rsid w:val="592430C6"/>
    <w:rsid w:val="59264D2A"/>
    <w:rsid w:val="59402925"/>
    <w:rsid w:val="5940688D"/>
    <w:rsid w:val="59446117"/>
    <w:rsid w:val="594D0BDB"/>
    <w:rsid w:val="595527B2"/>
    <w:rsid w:val="59592ED1"/>
    <w:rsid w:val="59610D60"/>
    <w:rsid w:val="59635C60"/>
    <w:rsid w:val="596541E5"/>
    <w:rsid w:val="596C0F43"/>
    <w:rsid w:val="596C120D"/>
    <w:rsid w:val="596D77E3"/>
    <w:rsid w:val="59744FD4"/>
    <w:rsid w:val="599C00A2"/>
    <w:rsid w:val="599F418D"/>
    <w:rsid w:val="59B23C9A"/>
    <w:rsid w:val="59B94819"/>
    <w:rsid w:val="59C84333"/>
    <w:rsid w:val="59DE28FC"/>
    <w:rsid w:val="59E05471"/>
    <w:rsid w:val="59EC3189"/>
    <w:rsid w:val="59F304B9"/>
    <w:rsid w:val="5A06741F"/>
    <w:rsid w:val="5A0B34F7"/>
    <w:rsid w:val="5A0D5EFA"/>
    <w:rsid w:val="5A100BCE"/>
    <w:rsid w:val="5A100EB5"/>
    <w:rsid w:val="5A114CC0"/>
    <w:rsid w:val="5A1D7EF7"/>
    <w:rsid w:val="5A2815BE"/>
    <w:rsid w:val="5A2E3986"/>
    <w:rsid w:val="5A356DD6"/>
    <w:rsid w:val="5A382C39"/>
    <w:rsid w:val="5A3C0583"/>
    <w:rsid w:val="5A42051E"/>
    <w:rsid w:val="5A445430"/>
    <w:rsid w:val="5A4E0741"/>
    <w:rsid w:val="5A534FF7"/>
    <w:rsid w:val="5A6B2DA3"/>
    <w:rsid w:val="5A6D0771"/>
    <w:rsid w:val="5A6D2FB5"/>
    <w:rsid w:val="5A787E0A"/>
    <w:rsid w:val="5A8265BB"/>
    <w:rsid w:val="5A890355"/>
    <w:rsid w:val="5A9601DB"/>
    <w:rsid w:val="5AB16789"/>
    <w:rsid w:val="5AB80165"/>
    <w:rsid w:val="5AC616A0"/>
    <w:rsid w:val="5AD259D8"/>
    <w:rsid w:val="5AD97181"/>
    <w:rsid w:val="5AE218F8"/>
    <w:rsid w:val="5AE34FA5"/>
    <w:rsid w:val="5AEB60C3"/>
    <w:rsid w:val="5AF93E8D"/>
    <w:rsid w:val="5AFE2F42"/>
    <w:rsid w:val="5B036C0E"/>
    <w:rsid w:val="5B0A4061"/>
    <w:rsid w:val="5B0C5FBD"/>
    <w:rsid w:val="5B1B000A"/>
    <w:rsid w:val="5B1C6576"/>
    <w:rsid w:val="5B2100D5"/>
    <w:rsid w:val="5B2C792B"/>
    <w:rsid w:val="5B4640CB"/>
    <w:rsid w:val="5B464B7E"/>
    <w:rsid w:val="5B4A13C2"/>
    <w:rsid w:val="5B561EF0"/>
    <w:rsid w:val="5B6A2342"/>
    <w:rsid w:val="5B6E69CA"/>
    <w:rsid w:val="5B6F606C"/>
    <w:rsid w:val="5B710FC8"/>
    <w:rsid w:val="5B716D64"/>
    <w:rsid w:val="5B743C52"/>
    <w:rsid w:val="5B772B5D"/>
    <w:rsid w:val="5B7B067C"/>
    <w:rsid w:val="5B8453BF"/>
    <w:rsid w:val="5B890F47"/>
    <w:rsid w:val="5B9A3F92"/>
    <w:rsid w:val="5B9B465A"/>
    <w:rsid w:val="5B9E2B29"/>
    <w:rsid w:val="5BA036A9"/>
    <w:rsid w:val="5BA5170C"/>
    <w:rsid w:val="5BA861E5"/>
    <w:rsid w:val="5BAC7567"/>
    <w:rsid w:val="5BBE2742"/>
    <w:rsid w:val="5BC551D7"/>
    <w:rsid w:val="5BCF5FD7"/>
    <w:rsid w:val="5BD64CF3"/>
    <w:rsid w:val="5BD77AF6"/>
    <w:rsid w:val="5BFB2A09"/>
    <w:rsid w:val="5BFB638B"/>
    <w:rsid w:val="5C014C14"/>
    <w:rsid w:val="5C0F6CB9"/>
    <w:rsid w:val="5C16288F"/>
    <w:rsid w:val="5C207758"/>
    <w:rsid w:val="5C2969DD"/>
    <w:rsid w:val="5C34332A"/>
    <w:rsid w:val="5C517365"/>
    <w:rsid w:val="5C5A7340"/>
    <w:rsid w:val="5C617983"/>
    <w:rsid w:val="5C6F147B"/>
    <w:rsid w:val="5C710C1E"/>
    <w:rsid w:val="5C764E25"/>
    <w:rsid w:val="5C7C3DBC"/>
    <w:rsid w:val="5C9763F1"/>
    <w:rsid w:val="5C9E7C2E"/>
    <w:rsid w:val="5CA15D23"/>
    <w:rsid w:val="5CAC4F60"/>
    <w:rsid w:val="5CAC5175"/>
    <w:rsid w:val="5CC334F6"/>
    <w:rsid w:val="5CC61D78"/>
    <w:rsid w:val="5CCC07B0"/>
    <w:rsid w:val="5CCE57E1"/>
    <w:rsid w:val="5CD90705"/>
    <w:rsid w:val="5CEB1B81"/>
    <w:rsid w:val="5CEC2D02"/>
    <w:rsid w:val="5CEE257E"/>
    <w:rsid w:val="5CF86D3C"/>
    <w:rsid w:val="5D0015BF"/>
    <w:rsid w:val="5D06031B"/>
    <w:rsid w:val="5D0C3DC7"/>
    <w:rsid w:val="5D101A28"/>
    <w:rsid w:val="5D193471"/>
    <w:rsid w:val="5D1D6545"/>
    <w:rsid w:val="5D1E77D4"/>
    <w:rsid w:val="5D3025FF"/>
    <w:rsid w:val="5D324075"/>
    <w:rsid w:val="5D3F4041"/>
    <w:rsid w:val="5D4261AF"/>
    <w:rsid w:val="5D4C134D"/>
    <w:rsid w:val="5D6111F2"/>
    <w:rsid w:val="5D6E6F86"/>
    <w:rsid w:val="5D77069D"/>
    <w:rsid w:val="5D8A3A67"/>
    <w:rsid w:val="5D9F4100"/>
    <w:rsid w:val="5DB00D3B"/>
    <w:rsid w:val="5DC243DB"/>
    <w:rsid w:val="5DCF5FA1"/>
    <w:rsid w:val="5DD30236"/>
    <w:rsid w:val="5DDD7DB4"/>
    <w:rsid w:val="5DE72BB9"/>
    <w:rsid w:val="5DF17B97"/>
    <w:rsid w:val="5DFE49EE"/>
    <w:rsid w:val="5DFF737F"/>
    <w:rsid w:val="5E00208A"/>
    <w:rsid w:val="5E013055"/>
    <w:rsid w:val="5E0A43F8"/>
    <w:rsid w:val="5E0C5298"/>
    <w:rsid w:val="5E1272FB"/>
    <w:rsid w:val="5E150433"/>
    <w:rsid w:val="5E1702B0"/>
    <w:rsid w:val="5E1C1670"/>
    <w:rsid w:val="5E232808"/>
    <w:rsid w:val="5E3B61F4"/>
    <w:rsid w:val="5E442AFD"/>
    <w:rsid w:val="5E4E152D"/>
    <w:rsid w:val="5E5100E1"/>
    <w:rsid w:val="5E532D1B"/>
    <w:rsid w:val="5E591204"/>
    <w:rsid w:val="5E6663C5"/>
    <w:rsid w:val="5E690D5E"/>
    <w:rsid w:val="5E746F2A"/>
    <w:rsid w:val="5E775B99"/>
    <w:rsid w:val="5E8D32BA"/>
    <w:rsid w:val="5EA93002"/>
    <w:rsid w:val="5EB13B1E"/>
    <w:rsid w:val="5EBA5148"/>
    <w:rsid w:val="5EBC21A5"/>
    <w:rsid w:val="5EC81CA5"/>
    <w:rsid w:val="5ECE6451"/>
    <w:rsid w:val="5ED460B2"/>
    <w:rsid w:val="5ED91797"/>
    <w:rsid w:val="5EDF206B"/>
    <w:rsid w:val="5EEB40CF"/>
    <w:rsid w:val="5EF8260C"/>
    <w:rsid w:val="5EFC246C"/>
    <w:rsid w:val="5F061CD1"/>
    <w:rsid w:val="5F132FF0"/>
    <w:rsid w:val="5F1E30E5"/>
    <w:rsid w:val="5F306901"/>
    <w:rsid w:val="5F377813"/>
    <w:rsid w:val="5F39549A"/>
    <w:rsid w:val="5F3D7AAC"/>
    <w:rsid w:val="5F4A712E"/>
    <w:rsid w:val="5F4E354E"/>
    <w:rsid w:val="5F71439A"/>
    <w:rsid w:val="5F7E0116"/>
    <w:rsid w:val="5F812EE3"/>
    <w:rsid w:val="5F8E39E6"/>
    <w:rsid w:val="5F922566"/>
    <w:rsid w:val="5F9A7B6B"/>
    <w:rsid w:val="5FAA70C2"/>
    <w:rsid w:val="5FAB1230"/>
    <w:rsid w:val="5FB454E8"/>
    <w:rsid w:val="5FC376E3"/>
    <w:rsid w:val="5FC559AB"/>
    <w:rsid w:val="5FC876E1"/>
    <w:rsid w:val="5FCD0F39"/>
    <w:rsid w:val="5FD70898"/>
    <w:rsid w:val="5FDB1CEF"/>
    <w:rsid w:val="5FE64BF0"/>
    <w:rsid w:val="6000247B"/>
    <w:rsid w:val="60026C59"/>
    <w:rsid w:val="600D2427"/>
    <w:rsid w:val="601F0A73"/>
    <w:rsid w:val="604402AC"/>
    <w:rsid w:val="604416A4"/>
    <w:rsid w:val="60465395"/>
    <w:rsid w:val="60477519"/>
    <w:rsid w:val="60575B6D"/>
    <w:rsid w:val="606E2515"/>
    <w:rsid w:val="606E6BE4"/>
    <w:rsid w:val="6086096B"/>
    <w:rsid w:val="608C7161"/>
    <w:rsid w:val="60910B2A"/>
    <w:rsid w:val="609A1105"/>
    <w:rsid w:val="60A95C74"/>
    <w:rsid w:val="60BB50C1"/>
    <w:rsid w:val="60C44D75"/>
    <w:rsid w:val="60C54619"/>
    <w:rsid w:val="60CC3323"/>
    <w:rsid w:val="60CE267F"/>
    <w:rsid w:val="60D115A4"/>
    <w:rsid w:val="60D35802"/>
    <w:rsid w:val="60E0624B"/>
    <w:rsid w:val="60E1532B"/>
    <w:rsid w:val="60E42908"/>
    <w:rsid w:val="60EB1E1F"/>
    <w:rsid w:val="60EC1F9E"/>
    <w:rsid w:val="60F0283F"/>
    <w:rsid w:val="610067DF"/>
    <w:rsid w:val="610805B6"/>
    <w:rsid w:val="61105C30"/>
    <w:rsid w:val="61114DB3"/>
    <w:rsid w:val="611B075B"/>
    <w:rsid w:val="611C0A48"/>
    <w:rsid w:val="61202836"/>
    <w:rsid w:val="612C1086"/>
    <w:rsid w:val="61330DFC"/>
    <w:rsid w:val="613A76B5"/>
    <w:rsid w:val="613E7918"/>
    <w:rsid w:val="61420DBB"/>
    <w:rsid w:val="61443667"/>
    <w:rsid w:val="61452033"/>
    <w:rsid w:val="6148394B"/>
    <w:rsid w:val="614A6ACB"/>
    <w:rsid w:val="616630C6"/>
    <w:rsid w:val="61665F39"/>
    <w:rsid w:val="616B0236"/>
    <w:rsid w:val="617B16A8"/>
    <w:rsid w:val="619028A6"/>
    <w:rsid w:val="61A82072"/>
    <w:rsid w:val="61B0024D"/>
    <w:rsid w:val="61B22B22"/>
    <w:rsid w:val="61BC65D1"/>
    <w:rsid w:val="61C675E9"/>
    <w:rsid w:val="61CB5C30"/>
    <w:rsid w:val="61D33E19"/>
    <w:rsid w:val="61D758F4"/>
    <w:rsid w:val="61D80FC7"/>
    <w:rsid w:val="61E33148"/>
    <w:rsid w:val="61EB1D46"/>
    <w:rsid w:val="61FF1DCD"/>
    <w:rsid w:val="620F5E0E"/>
    <w:rsid w:val="6215352D"/>
    <w:rsid w:val="622324D6"/>
    <w:rsid w:val="62246687"/>
    <w:rsid w:val="62264FF6"/>
    <w:rsid w:val="62355ABE"/>
    <w:rsid w:val="625379F3"/>
    <w:rsid w:val="625F1916"/>
    <w:rsid w:val="626058A9"/>
    <w:rsid w:val="627002FC"/>
    <w:rsid w:val="627A4079"/>
    <w:rsid w:val="629B46A2"/>
    <w:rsid w:val="62AC2443"/>
    <w:rsid w:val="62B0741E"/>
    <w:rsid w:val="62B91FBD"/>
    <w:rsid w:val="62BE7C14"/>
    <w:rsid w:val="62C165DD"/>
    <w:rsid w:val="62CB7263"/>
    <w:rsid w:val="62DA0E37"/>
    <w:rsid w:val="62DB4EDF"/>
    <w:rsid w:val="62DD1B78"/>
    <w:rsid w:val="62DE182A"/>
    <w:rsid w:val="62E32931"/>
    <w:rsid w:val="62E609AF"/>
    <w:rsid w:val="62EE2350"/>
    <w:rsid w:val="62F62D17"/>
    <w:rsid w:val="63076198"/>
    <w:rsid w:val="63197191"/>
    <w:rsid w:val="632F1AEC"/>
    <w:rsid w:val="6332257C"/>
    <w:rsid w:val="633F7B08"/>
    <w:rsid w:val="63534332"/>
    <w:rsid w:val="635C2933"/>
    <w:rsid w:val="635C3D24"/>
    <w:rsid w:val="635E2BE0"/>
    <w:rsid w:val="63636EB0"/>
    <w:rsid w:val="636C3444"/>
    <w:rsid w:val="63777076"/>
    <w:rsid w:val="6379766A"/>
    <w:rsid w:val="637E241F"/>
    <w:rsid w:val="63836FE7"/>
    <w:rsid w:val="63840FA0"/>
    <w:rsid w:val="63907C89"/>
    <w:rsid w:val="6398788F"/>
    <w:rsid w:val="63A07392"/>
    <w:rsid w:val="63A15013"/>
    <w:rsid w:val="63A71D99"/>
    <w:rsid w:val="63A857C6"/>
    <w:rsid w:val="63B85AE3"/>
    <w:rsid w:val="63C079C8"/>
    <w:rsid w:val="63C41718"/>
    <w:rsid w:val="63C50CA4"/>
    <w:rsid w:val="63D53F5A"/>
    <w:rsid w:val="63DA198A"/>
    <w:rsid w:val="63EC42CE"/>
    <w:rsid w:val="63F26395"/>
    <w:rsid w:val="63FD3C8B"/>
    <w:rsid w:val="63FE2017"/>
    <w:rsid w:val="64086BE0"/>
    <w:rsid w:val="640E1042"/>
    <w:rsid w:val="64103871"/>
    <w:rsid w:val="64210CCB"/>
    <w:rsid w:val="6446311F"/>
    <w:rsid w:val="6449081E"/>
    <w:rsid w:val="6455400F"/>
    <w:rsid w:val="64572E6D"/>
    <w:rsid w:val="64593DFA"/>
    <w:rsid w:val="645B1206"/>
    <w:rsid w:val="645E5D2E"/>
    <w:rsid w:val="646D06C4"/>
    <w:rsid w:val="646E2EB8"/>
    <w:rsid w:val="647E7E08"/>
    <w:rsid w:val="64830F69"/>
    <w:rsid w:val="64931F11"/>
    <w:rsid w:val="649A0ABA"/>
    <w:rsid w:val="64AB6DAD"/>
    <w:rsid w:val="64AC4B27"/>
    <w:rsid w:val="64AF3FF1"/>
    <w:rsid w:val="64B23CB6"/>
    <w:rsid w:val="64BC17BB"/>
    <w:rsid w:val="64BD2338"/>
    <w:rsid w:val="64C4071B"/>
    <w:rsid w:val="64C427EC"/>
    <w:rsid w:val="64C6511B"/>
    <w:rsid w:val="64D77EEC"/>
    <w:rsid w:val="64DA391C"/>
    <w:rsid w:val="64F1178E"/>
    <w:rsid w:val="64F8164D"/>
    <w:rsid w:val="64FC5F3B"/>
    <w:rsid w:val="65111636"/>
    <w:rsid w:val="651D0BB5"/>
    <w:rsid w:val="651F1537"/>
    <w:rsid w:val="652C1CD6"/>
    <w:rsid w:val="652D1935"/>
    <w:rsid w:val="65404114"/>
    <w:rsid w:val="655532F7"/>
    <w:rsid w:val="65783306"/>
    <w:rsid w:val="657866C4"/>
    <w:rsid w:val="658247E4"/>
    <w:rsid w:val="65827F06"/>
    <w:rsid w:val="658C75DF"/>
    <w:rsid w:val="659C3613"/>
    <w:rsid w:val="659D195E"/>
    <w:rsid w:val="659F0550"/>
    <w:rsid w:val="65A37DBC"/>
    <w:rsid w:val="65AB71D2"/>
    <w:rsid w:val="65AD3140"/>
    <w:rsid w:val="65B540D9"/>
    <w:rsid w:val="65C1767E"/>
    <w:rsid w:val="65C3782F"/>
    <w:rsid w:val="65D122BF"/>
    <w:rsid w:val="65D57E0E"/>
    <w:rsid w:val="65D61B1A"/>
    <w:rsid w:val="65D7651B"/>
    <w:rsid w:val="65E3601A"/>
    <w:rsid w:val="65E62ED8"/>
    <w:rsid w:val="65EB6C6F"/>
    <w:rsid w:val="65F10948"/>
    <w:rsid w:val="65F35F04"/>
    <w:rsid w:val="6601485A"/>
    <w:rsid w:val="66046B4E"/>
    <w:rsid w:val="6607117A"/>
    <w:rsid w:val="6615758F"/>
    <w:rsid w:val="66196ECC"/>
    <w:rsid w:val="66200F58"/>
    <w:rsid w:val="663E460A"/>
    <w:rsid w:val="6657159A"/>
    <w:rsid w:val="665D343F"/>
    <w:rsid w:val="66644753"/>
    <w:rsid w:val="66694836"/>
    <w:rsid w:val="666E4B39"/>
    <w:rsid w:val="66727DB4"/>
    <w:rsid w:val="66760BD7"/>
    <w:rsid w:val="66770C98"/>
    <w:rsid w:val="66782D0F"/>
    <w:rsid w:val="667C0C18"/>
    <w:rsid w:val="669361A9"/>
    <w:rsid w:val="669E28FB"/>
    <w:rsid w:val="66A3333B"/>
    <w:rsid w:val="66A43DB4"/>
    <w:rsid w:val="66A71C88"/>
    <w:rsid w:val="66E64C1D"/>
    <w:rsid w:val="66EE6FD6"/>
    <w:rsid w:val="66FA0637"/>
    <w:rsid w:val="6703713B"/>
    <w:rsid w:val="670F2CA0"/>
    <w:rsid w:val="671F4472"/>
    <w:rsid w:val="672F1E85"/>
    <w:rsid w:val="676736B6"/>
    <w:rsid w:val="677364EC"/>
    <w:rsid w:val="67750ABD"/>
    <w:rsid w:val="678122F4"/>
    <w:rsid w:val="678D34E0"/>
    <w:rsid w:val="678D736E"/>
    <w:rsid w:val="678E2725"/>
    <w:rsid w:val="679B08DF"/>
    <w:rsid w:val="67A40605"/>
    <w:rsid w:val="67A7026C"/>
    <w:rsid w:val="67CF0021"/>
    <w:rsid w:val="67D742CB"/>
    <w:rsid w:val="67DE0D83"/>
    <w:rsid w:val="67DF1078"/>
    <w:rsid w:val="67EC7DE2"/>
    <w:rsid w:val="67EF03F0"/>
    <w:rsid w:val="67FD29F7"/>
    <w:rsid w:val="68027B8F"/>
    <w:rsid w:val="680728BA"/>
    <w:rsid w:val="680817AE"/>
    <w:rsid w:val="68206398"/>
    <w:rsid w:val="682279B0"/>
    <w:rsid w:val="68231AA6"/>
    <w:rsid w:val="682C3F89"/>
    <w:rsid w:val="6832387B"/>
    <w:rsid w:val="683B523E"/>
    <w:rsid w:val="684405CC"/>
    <w:rsid w:val="68496D13"/>
    <w:rsid w:val="68503BF2"/>
    <w:rsid w:val="68513875"/>
    <w:rsid w:val="68692696"/>
    <w:rsid w:val="688D2B33"/>
    <w:rsid w:val="689C79FC"/>
    <w:rsid w:val="689D6171"/>
    <w:rsid w:val="68A70438"/>
    <w:rsid w:val="68A87DD3"/>
    <w:rsid w:val="68AA72DB"/>
    <w:rsid w:val="68AD4BCE"/>
    <w:rsid w:val="68CC3DE0"/>
    <w:rsid w:val="68E324DC"/>
    <w:rsid w:val="68F6776E"/>
    <w:rsid w:val="690A2A6D"/>
    <w:rsid w:val="69142C71"/>
    <w:rsid w:val="69144304"/>
    <w:rsid w:val="69172F0A"/>
    <w:rsid w:val="69214729"/>
    <w:rsid w:val="6922067B"/>
    <w:rsid w:val="69321A61"/>
    <w:rsid w:val="694A4E99"/>
    <w:rsid w:val="69520496"/>
    <w:rsid w:val="695C6610"/>
    <w:rsid w:val="696449B4"/>
    <w:rsid w:val="69695B9C"/>
    <w:rsid w:val="696A640D"/>
    <w:rsid w:val="696C2BC7"/>
    <w:rsid w:val="697164A6"/>
    <w:rsid w:val="69792ADF"/>
    <w:rsid w:val="697B73A2"/>
    <w:rsid w:val="69997176"/>
    <w:rsid w:val="699A2A0E"/>
    <w:rsid w:val="699C354E"/>
    <w:rsid w:val="69A311FE"/>
    <w:rsid w:val="69B311E0"/>
    <w:rsid w:val="69C92579"/>
    <w:rsid w:val="69CB25F8"/>
    <w:rsid w:val="69D503B0"/>
    <w:rsid w:val="69DF1C8C"/>
    <w:rsid w:val="69E42E40"/>
    <w:rsid w:val="69E9611D"/>
    <w:rsid w:val="69F149EA"/>
    <w:rsid w:val="69FE5BB5"/>
    <w:rsid w:val="6A0C66E5"/>
    <w:rsid w:val="6A137278"/>
    <w:rsid w:val="6A15629A"/>
    <w:rsid w:val="6A1B4786"/>
    <w:rsid w:val="6A25691C"/>
    <w:rsid w:val="6A2E45BB"/>
    <w:rsid w:val="6A362A0F"/>
    <w:rsid w:val="6A447EFC"/>
    <w:rsid w:val="6A55282D"/>
    <w:rsid w:val="6A602333"/>
    <w:rsid w:val="6A6447E5"/>
    <w:rsid w:val="6A76433A"/>
    <w:rsid w:val="6A7A4451"/>
    <w:rsid w:val="6A7D22D8"/>
    <w:rsid w:val="6A81547A"/>
    <w:rsid w:val="6A917936"/>
    <w:rsid w:val="6A930F1A"/>
    <w:rsid w:val="6A9339C4"/>
    <w:rsid w:val="6A94212E"/>
    <w:rsid w:val="6A9D0F09"/>
    <w:rsid w:val="6AAF7B96"/>
    <w:rsid w:val="6AB271BF"/>
    <w:rsid w:val="6AB303A3"/>
    <w:rsid w:val="6AB44861"/>
    <w:rsid w:val="6AB978A5"/>
    <w:rsid w:val="6ACF11A8"/>
    <w:rsid w:val="6AD47CD9"/>
    <w:rsid w:val="6ADA325C"/>
    <w:rsid w:val="6ADD01AA"/>
    <w:rsid w:val="6AF25534"/>
    <w:rsid w:val="6AF76936"/>
    <w:rsid w:val="6AF9322F"/>
    <w:rsid w:val="6AFB08D2"/>
    <w:rsid w:val="6B0344BB"/>
    <w:rsid w:val="6B0530ED"/>
    <w:rsid w:val="6B277907"/>
    <w:rsid w:val="6B296584"/>
    <w:rsid w:val="6B2C05AD"/>
    <w:rsid w:val="6B322D81"/>
    <w:rsid w:val="6B340849"/>
    <w:rsid w:val="6B3928B6"/>
    <w:rsid w:val="6B462CE0"/>
    <w:rsid w:val="6B4F273B"/>
    <w:rsid w:val="6B514E1B"/>
    <w:rsid w:val="6B577EAB"/>
    <w:rsid w:val="6B6432ED"/>
    <w:rsid w:val="6B786F8B"/>
    <w:rsid w:val="6B833C3B"/>
    <w:rsid w:val="6B866978"/>
    <w:rsid w:val="6B891E19"/>
    <w:rsid w:val="6B941FCC"/>
    <w:rsid w:val="6B9D3663"/>
    <w:rsid w:val="6B9E2231"/>
    <w:rsid w:val="6BA935C4"/>
    <w:rsid w:val="6BC43F1F"/>
    <w:rsid w:val="6BC6761F"/>
    <w:rsid w:val="6BC91D6E"/>
    <w:rsid w:val="6BD839B0"/>
    <w:rsid w:val="6BDB5C94"/>
    <w:rsid w:val="6BDB6090"/>
    <w:rsid w:val="6BDC1899"/>
    <w:rsid w:val="6BED3CC8"/>
    <w:rsid w:val="6BF07518"/>
    <w:rsid w:val="6BF91AB4"/>
    <w:rsid w:val="6C040C2B"/>
    <w:rsid w:val="6C046802"/>
    <w:rsid w:val="6C122656"/>
    <w:rsid w:val="6C1B696A"/>
    <w:rsid w:val="6C285280"/>
    <w:rsid w:val="6C2B4CD0"/>
    <w:rsid w:val="6C394A87"/>
    <w:rsid w:val="6C396A79"/>
    <w:rsid w:val="6C3B6833"/>
    <w:rsid w:val="6C3E677A"/>
    <w:rsid w:val="6C3F3FCD"/>
    <w:rsid w:val="6C4F610C"/>
    <w:rsid w:val="6C7B5E0B"/>
    <w:rsid w:val="6C7F69A8"/>
    <w:rsid w:val="6C8456D5"/>
    <w:rsid w:val="6C8E5586"/>
    <w:rsid w:val="6C9E52CA"/>
    <w:rsid w:val="6CA21347"/>
    <w:rsid w:val="6CAC757A"/>
    <w:rsid w:val="6CB12C8C"/>
    <w:rsid w:val="6CB32FFA"/>
    <w:rsid w:val="6CB973DE"/>
    <w:rsid w:val="6CC3557E"/>
    <w:rsid w:val="6CC96B43"/>
    <w:rsid w:val="6CD86545"/>
    <w:rsid w:val="6CDE1346"/>
    <w:rsid w:val="6CEA65C7"/>
    <w:rsid w:val="6CF648CC"/>
    <w:rsid w:val="6D0336F9"/>
    <w:rsid w:val="6D064EC8"/>
    <w:rsid w:val="6D24745D"/>
    <w:rsid w:val="6D260C96"/>
    <w:rsid w:val="6D36300F"/>
    <w:rsid w:val="6D413F66"/>
    <w:rsid w:val="6D415B5B"/>
    <w:rsid w:val="6D434685"/>
    <w:rsid w:val="6D4836EB"/>
    <w:rsid w:val="6D680F99"/>
    <w:rsid w:val="6D6F0E9F"/>
    <w:rsid w:val="6D9F0301"/>
    <w:rsid w:val="6DB678CB"/>
    <w:rsid w:val="6DBD23B8"/>
    <w:rsid w:val="6DC242FF"/>
    <w:rsid w:val="6DC30087"/>
    <w:rsid w:val="6DDF30E4"/>
    <w:rsid w:val="6DEC597F"/>
    <w:rsid w:val="6DF450FF"/>
    <w:rsid w:val="6DF46255"/>
    <w:rsid w:val="6DFC5EAD"/>
    <w:rsid w:val="6E1A4D22"/>
    <w:rsid w:val="6E2C0D58"/>
    <w:rsid w:val="6E2D02DD"/>
    <w:rsid w:val="6E2E476A"/>
    <w:rsid w:val="6E37612F"/>
    <w:rsid w:val="6E4C5B50"/>
    <w:rsid w:val="6E642863"/>
    <w:rsid w:val="6E6D7CE0"/>
    <w:rsid w:val="6E865F82"/>
    <w:rsid w:val="6E923D3F"/>
    <w:rsid w:val="6EA16762"/>
    <w:rsid w:val="6EAF0BF3"/>
    <w:rsid w:val="6EB02F99"/>
    <w:rsid w:val="6EBE1A41"/>
    <w:rsid w:val="6EC0731A"/>
    <w:rsid w:val="6EC201A9"/>
    <w:rsid w:val="6EC529FD"/>
    <w:rsid w:val="6EF07EC9"/>
    <w:rsid w:val="6EFB632C"/>
    <w:rsid w:val="6F0714A5"/>
    <w:rsid w:val="6F0E30D9"/>
    <w:rsid w:val="6F183C2E"/>
    <w:rsid w:val="6F1A7F51"/>
    <w:rsid w:val="6F264D12"/>
    <w:rsid w:val="6F290204"/>
    <w:rsid w:val="6F2C7DCC"/>
    <w:rsid w:val="6F2D30A9"/>
    <w:rsid w:val="6F322600"/>
    <w:rsid w:val="6F3327D0"/>
    <w:rsid w:val="6F33787F"/>
    <w:rsid w:val="6F345DA1"/>
    <w:rsid w:val="6F35675E"/>
    <w:rsid w:val="6F45623B"/>
    <w:rsid w:val="6F460A3C"/>
    <w:rsid w:val="6F461E62"/>
    <w:rsid w:val="6F4A0249"/>
    <w:rsid w:val="6F5233AC"/>
    <w:rsid w:val="6F536E13"/>
    <w:rsid w:val="6F7D735D"/>
    <w:rsid w:val="6F7F634F"/>
    <w:rsid w:val="6F817ABF"/>
    <w:rsid w:val="6F852C45"/>
    <w:rsid w:val="6F861E4D"/>
    <w:rsid w:val="6F8A1A3C"/>
    <w:rsid w:val="6F9B66B7"/>
    <w:rsid w:val="6F9F2391"/>
    <w:rsid w:val="6FAF7B43"/>
    <w:rsid w:val="6FB552C1"/>
    <w:rsid w:val="6FB813DA"/>
    <w:rsid w:val="6FBD2CF9"/>
    <w:rsid w:val="6FC43F33"/>
    <w:rsid w:val="6FCA5E05"/>
    <w:rsid w:val="6FD511D2"/>
    <w:rsid w:val="6FE4574D"/>
    <w:rsid w:val="6FF87E02"/>
    <w:rsid w:val="6FFE0C27"/>
    <w:rsid w:val="6FFF1D0E"/>
    <w:rsid w:val="70023EF4"/>
    <w:rsid w:val="700C0DDB"/>
    <w:rsid w:val="700C30E5"/>
    <w:rsid w:val="70234C2A"/>
    <w:rsid w:val="702E6608"/>
    <w:rsid w:val="7031537B"/>
    <w:rsid w:val="7035627A"/>
    <w:rsid w:val="703774A1"/>
    <w:rsid w:val="703C60B0"/>
    <w:rsid w:val="7049004D"/>
    <w:rsid w:val="704D6F6E"/>
    <w:rsid w:val="704E6356"/>
    <w:rsid w:val="70536C3C"/>
    <w:rsid w:val="705B5C8B"/>
    <w:rsid w:val="706106E9"/>
    <w:rsid w:val="706F6846"/>
    <w:rsid w:val="70716992"/>
    <w:rsid w:val="70816334"/>
    <w:rsid w:val="709A06F7"/>
    <w:rsid w:val="709C5A9C"/>
    <w:rsid w:val="709F599B"/>
    <w:rsid w:val="70A02966"/>
    <w:rsid w:val="70A316C1"/>
    <w:rsid w:val="70A64BAB"/>
    <w:rsid w:val="70B369E3"/>
    <w:rsid w:val="70BF18F1"/>
    <w:rsid w:val="70C44BE7"/>
    <w:rsid w:val="70C65C06"/>
    <w:rsid w:val="70C942BC"/>
    <w:rsid w:val="70CE1848"/>
    <w:rsid w:val="70D94197"/>
    <w:rsid w:val="70EC3566"/>
    <w:rsid w:val="70FF6A13"/>
    <w:rsid w:val="7115523A"/>
    <w:rsid w:val="711B525A"/>
    <w:rsid w:val="712D47C3"/>
    <w:rsid w:val="712E0FDD"/>
    <w:rsid w:val="7133503F"/>
    <w:rsid w:val="7138443C"/>
    <w:rsid w:val="713C3926"/>
    <w:rsid w:val="71495716"/>
    <w:rsid w:val="715E10D1"/>
    <w:rsid w:val="716B6DA7"/>
    <w:rsid w:val="7170132E"/>
    <w:rsid w:val="717F6036"/>
    <w:rsid w:val="718423DB"/>
    <w:rsid w:val="71A102E1"/>
    <w:rsid w:val="71A62743"/>
    <w:rsid w:val="71AB0D49"/>
    <w:rsid w:val="71B11300"/>
    <w:rsid w:val="71B41465"/>
    <w:rsid w:val="71C41FCE"/>
    <w:rsid w:val="71C52FA3"/>
    <w:rsid w:val="71C54CF1"/>
    <w:rsid w:val="71C8300F"/>
    <w:rsid w:val="71C903BF"/>
    <w:rsid w:val="71C94930"/>
    <w:rsid w:val="71DD3962"/>
    <w:rsid w:val="71F540EF"/>
    <w:rsid w:val="71FF7992"/>
    <w:rsid w:val="72107D9F"/>
    <w:rsid w:val="72122369"/>
    <w:rsid w:val="721643D1"/>
    <w:rsid w:val="72263B15"/>
    <w:rsid w:val="72402198"/>
    <w:rsid w:val="72412528"/>
    <w:rsid w:val="724128C6"/>
    <w:rsid w:val="724441A8"/>
    <w:rsid w:val="724D02ED"/>
    <w:rsid w:val="72544D44"/>
    <w:rsid w:val="72595B49"/>
    <w:rsid w:val="726F6D5C"/>
    <w:rsid w:val="7275483D"/>
    <w:rsid w:val="72765C32"/>
    <w:rsid w:val="728E5B8B"/>
    <w:rsid w:val="72902760"/>
    <w:rsid w:val="72906E04"/>
    <w:rsid w:val="729F1235"/>
    <w:rsid w:val="729F77E1"/>
    <w:rsid w:val="72A102BB"/>
    <w:rsid w:val="72B478D1"/>
    <w:rsid w:val="72B47B95"/>
    <w:rsid w:val="72B53423"/>
    <w:rsid w:val="72BF79CF"/>
    <w:rsid w:val="72C7434F"/>
    <w:rsid w:val="72DE2745"/>
    <w:rsid w:val="72E054B1"/>
    <w:rsid w:val="72E104EE"/>
    <w:rsid w:val="72E607CB"/>
    <w:rsid w:val="72E824FD"/>
    <w:rsid w:val="72EA4FFC"/>
    <w:rsid w:val="72FE7918"/>
    <w:rsid w:val="73047A73"/>
    <w:rsid w:val="73066F40"/>
    <w:rsid w:val="73114E7C"/>
    <w:rsid w:val="73156D94"/>
    <w:rsid w:val="7318429A"/>
    <w:rsid w:val="732D5CDB"/>
    <w:rsid w:val="73334648"/>
    <w:rsid w:val="734D4252"/>
    <w:rsid w:val="73555484"/>
    <w:rsid w:val="735A45DA"/>
    <w:rsid w:val="736562BD"/>
    <w:rsid w:val="737B6E01"/>
    <w:rsid w:val="737D0C17"/>
    <w:rsid w:val="738B68E0"/>
    <w:rsid w:val="738D3F2F"/>
    <w:rsid w:val="7391660C"/>
    <w:rsid w:val="739E52C3"/>
    <w:rsid w:val="73A45FC4"/>
    <w:rsid w:val="73AA6454"/>
    <w:rsid w:val="73AB73FF"/>
    <w:rsid w:val="73C26A0C"/>
    <w:rsid w:val="73CE552C"/>
    <w:rsid w:val="73DA682A"/>
    <w:rsid w:val="73F50B4E"/>
    <w:rsid w:val="74196000"/>
    <w:rsid w:val="7425633E"/>
    <w:rsid w:val="7427607C"/>
    <w:rsid w:val="744228E5"/>
    <w:rsid w:val="74433E84"/>
    <w:rsid w:val="744429A2"/>
    <w:rsid w:val="74586E75"/>
    <w:rsid w:val="746077C0"/>
    <w:rsid w:val="747A4689"/>
    <w:rsid w:val="748616D3"/>
    <w:rsid w:val="749909AF"/>
    <w:rsid w:val="74A04908"/>
    <w:rsid w:val="74A940DE"/>
    <w:rsid w:val="74AC43EA"/>
    <w:rsid w:val="74B72E19"/>
    <w:rsid w:val="74BA5741"/>
    <w:rsid w:val="74C462AD"/>
    <w:rsid w:val="74C46333"/>
    <w:rsid w:val="74C9141D"/>
    <w:rsid w:val="74DA056B"/>
    <w:rsid w:val="74EA4752"/>
    <w:rsid w:val="74EA6CC5"/>
    <w:rsid w:val="74EE476F"/>
    <w:rsid w:val="74FA1A86"/>
    <w:rsid w:val="74FB433F"/>
    <w:rsid w:val="750C07C0"/>
    <w:rsid w:val="750E7294"/>
    <w:rsid w:val="7512566A"/>
    <w:rsid w:val="75150800"/>
    <w:rsid w:val="75201419"/>
    <w:rsid w:val="75235EAD"/>
    <w:rsid w:val="752524C3"/>
    <w:rsid w:val="752A4FEA"/>
    <w:rsid w:val="752E62B7"/>
    <w:rsid w:val="753303E3"/>
    <w:rsid w:val="75342C09"/>
    <w:rsid w:val="753A14EF"/>
    <w:rsid w:val="75467961"/>
    <w:rsid w:val="755675AF"/>
    <w:rsid w:val="75632990"/>
    <w:rsid w:val="7567515E"/>
    <w:rsid w:val="75733B41"/>
    <w:rsid w:val="758C63AD"/>
    <w:rsid w:val="7590597C"/>
    <w:rsid w:val="7596337E"/>
    <w:rsid w:val="759A1FF9"/>
    <w:rsid w:val="75A05D4D"/>
    <w:rsid w:val="75F24E3F"/>
    <w:rsid w:val="75F80608"/>
    <w:rsid w:val="75FE013E"/>
    <w:rsid w:val="76066D64"/>
    <w:rsid w:val="76073E2F"/>
    <w:rsid w:val="760A5457"/>
    <w:rsid w:val="761C35EB"/>
    <w:rsid w:val="761D10F5"/>
    <w:rsid w:val="76206BF8"/>
    <w:rsid w:val="76217E36"/>
    <w:rsid w:val="762348EF"/>
    <w:rsid w:val="763358B6"/>
    <w:rsid w:val="763D14D8"/>
    <w:rsid w:val="764351DD"/>
    <w:rsid w:val="764470CE"/>
    <w:rsid w:val="764D5B5A"/>
    <w:rsid w:val="76632F71"/>
    <w:rsid w:val="76667CCC"/>
    <w:rsid w:val="7668739C"/>
    <w:rsid w:val="76706ECF"/>
    <w:rsid w:val="767D62A9"/>
    <w:rsid w:val="7690759B"/>
    <w:rsid w:val="76914810"/>
    <w:rsid w:val="76A044CE"/>
    <w:rsid w:val="76A06605"/>
    <w:rsid w:val="76AA10FD"/>
    <w:rsid w:val="76BB1322"/>
    <w:rsid w:val="76CE1B1D"/>
    <w:rsid w:val="76D0048F"/>
    <w:rsid w:val="76D222A7"/>
    <w:rsid w:val="76D57902"/>
    <w:rsid w:val="76DB2223"/>
    <w:rsid w:val="76E625D6"/>
    <w:rsid w:val="76EE647F"/>
    <w:rsid w:val="77081635"/>
    <w:rsid w:val="77127D5F"/>
    <w:rsid w:val="771C2CB9"/>
    <w:rsid w:val="77223989"/>
    <w:rsid w:val="772445FD"/>
    <w:rsid w:val="772A243C"/>
    <w:rsid w:val="77334555"/>
    <w:rsid w:val="773E41EC"/>
    <w:rsid w:val="775F7ED4"/>
    <w:rsid w:val="77602396"/>
    <w:rsid w:val="776216AC"/>
    <w:rsid w:val="77660E84"/>
    <w:rsid w:val="777109FF"/>
    <w:rsid w:val="7774505B"/>
    <w:rsid w:val="777520F0"/>
    <w:rsid w:val="77790B86"/>
    <w:rsid w:val="77865529"/>
    <w:rsid w:val="77A05409"/>
    <w:rsid w:val="77A116E4"/>
    <w:rsid w:val="77A14537"/>
    <w:rsid w:val="77A25E80"/>
    <w:rsid w:val="77AA0850"/>
    <w:rsid w:val="77AF7330"/>
    <w:rsid w:val="77BC3C32"/>
    <w:rsid w:val="77BC6EFE"/>
    <w:rsid w:val="77C849D9"/>
    <w:rsid w:val="77CE5F93"/>
    <w:rsid w:val="77D74233"/>
    <w:rsid w:val="77D873B8"/>
    <w:rsid w:val="77E63BD8"/>
    <w:rsid w:val="77EC5DEC"/>
    <w:rsid w:val="77F3388A"/>
    <w:rsid w:val="77F8507F"/>
    <w:rsid w:val="78024CAA"/>
    <w:rsid w:val="780E1489"/>
    <w:rsid w:val="78107604"/>
    <w:rsid w:val="78192C2A"/>
    <w:rsid w:val="781E2E0D"/>
    <w:rsid w:val="782E7B78"/>
    <w:rsid w:val="785100AD"/>
    <w:rsid w:val="785D207F"/>
    <w:rsid w:val="785F3F4E"/>
    <w:rsid w:val="786666E0"/>
    <w:rsid w:val="786A1C66"/>
    <w:rsid w:val="786A5DDD"/>
    <w:rsid w:val="7873085C"/>
    <w:rsid w:val="78825341"/>
    <w:rsid w:val="7884737B"/>
    <w:rsid w:val="788530DA"/>
    <w:rsid w:val="78860546"/>
    <w:rsid w:val="788900E3"/>
    <w:rsid w:val="78907BEC"/>
    <w:rsid w:val="789869F2"/>
    <w:rsid w:val="78A1579C"/>
    <w:rsid w:val="78A43C9F"/>
    <w:rsid w:val="78A57541"/>
    <w:rsid w:val="78A811EC"/>
    <w:rsid w:val="78B26191"/>
    <w:rsid w:val="78B5277E"/>
    <w:rsid w:val="78B91E23"/>
    <w:rsid w:val="78BA7E4F"/>
    <w:rsid w:val="78D179BD"/>
    <w:rsid w:val="78F70794"/>
    <w:rsid w:val="78FE1436"/>
    <w:rsid w:val="78FF5ADA"/>
    <w:rsid w:val="790067FB"/>
    <w:rsid w:val="790615DD"/>
    <w:rsid w:val="790B19DC"/>
    <w:rsid w:val="7910114E"/>
    <w:rsid w:val="791909DD"/>
    <w:rsid w:val="7919794D"/>
    <w:rsid w:val="79353CEE"/>
    <w:rsid w:val="793762C5"/>
    <w:rsid w:val="793B32B4"/>
    <w:rsid w:val="79475B93"/>
    <w:rsid w:val="79660D5F"/>
    <w:rsid w:val="79666829"/>
    <w:rsid w:val="796B7191"/>
    <w:rsid w:val="796F0574"/>
    <w:rsid w:val="797B664A"/>
    <w:rsid w:val="7985035C"/>
    <w:rsid w:val="798E52BC"/>
    <w:rsid w:val="799C0111"/>
    <w:rsid w:val="799D4319"/>
    <w:rsid w:val="799F189F"/>
    <w:rsid w:val="79A33C3A"/>
    <w:rsid w:val="79A43C91"/>
    <w:rsid w:val="79A95071"/>
    <w:rsid w:val="79AC38BC"/>
    <w:rsid w:val="79AC7B66"/>
    <w:rsid w:val="79C128E4"/>
    <w:rsid w:val="79C911C2"/>
    <w:rsid w:val="79CE67DB"/>
    <w:rsid w:val="79D32B34"/>
    <w:rsid w:val="79D6563F"/>
    <w:rsid w:val="79D838BA"/>
    <w:rsid w:val="79F620AD"/>
    <w:rsid w:val="79F649EE"/>
    <w:rsid w:val="79FB25B1"/>
    <w:rsid w:val="7A0C0F31"/>
    <w:rsid w:val="7A0F38B5"/>
    <w:rsid w:val="7A101D0D"/>
    <w:rsid w:val="7A103F12"/>
    <w:rsid w:val="7A120C0C"/>
    <w:rsid w:val="7A1C44DD"/>
    <w:rsid w:val="7A1C66FB"/>
    <w:rsid w:val="7A2E68F6"/>
    <w:rsid w:val="7A300434"/>
    <w:rsid w:val="7A396E1F"/>
    <w:rsid w:val="7A4C5A3B"/>
    <w:rsid w:val="7A5339A0"/>
    <w:rsid w:val="7A5B05B6"/>
    <w:rsid w:val="7A630172"/>
    <w:rsid w:val="7A631309"/>
    <w:rsid w:val="7A921E21"/>
    <w:rsid w:val="7AA91090"/>
    <w:rsid w:val="7AD41622"/>
    <w:rsid w:val="7ADD47D1"/>
    <w:rsid w:val="7ADE3173"/>
    <w:rsid w:val="7AEB5162"/>
    <w:rsid w:val="7AED5C05"/>
    <w:rsid w:val="7AF94986"/>
    <w:rsid w:val="7AFE39BA"/>
    <w:rsid w:val="7B232943"/>
    <w:rsid w:val="7B407DF2"/>
    <w:rsid w:val="7B46015A"/>
    <w:rsid w:val="7B553B77"/>
    <w:rsid w:val="7B553CD4"/>
    <w:rsid w:val="7B577614"/>
    <w:rsid w:val="7B5B56F4"/>
    <w:rsid w:val="7B5E0DB7"/>
    <w:rsid w:val="7B5F4FA3"/>
    <w:rsid w:val="7B682767"/>
    <w:rsid w:val="7B6B63B3"/>
    <w:rsid w:val="7B6D2EE4"/>
    <w:rsid w:val="7B721623"/>
    <w:rsid w:val="7B77357A"/>
    <w:rsid w:val="7B8222D7"/>
    <w:rsid w:val="7B827C63"/>
    <w:rsid w:val="7B830CED"/>
    <w:rsid w:val="7B864D11"/>
    <w:rsid w:val="7B8C3AE5"/>
    <w:rsid w:val="7B8C69E6"/>
    <w:rsid w:val="7B8F38AD"/>
    <w:rsid w:val="7BAB12DE"/>
    <w:rsid w:val="7BC24390"/>
    <w:rsid w:val="7BC5165B"/>
    <w:rsid w:val="7BCF2869"/>
    <w:rsid w:val="7BCF6C15"/>
    <w:rsid w:val="7BD90D2F"/>
    <w:rsid w:val="7BDC50B8"/>
    <w:rsid w:val="7BE450B6"/>
    <w:rsid w:val="7BE903F1"/>
    <w:rsid w:val="7BEE588A"/>
    <w:rsid w:val="7BEF1C83"/>
    <w:rsid w:val="7BF21FE7"/>
    <w:rsid w:val="7BFF6D91"/>
    <w:rsid w:val="7C0229E6"/>
    <w:rsid w:val="7C04625C"/>
    <w:rsid w:val="7C075762"/>
    <w:rsid w:val="7C095B24"/>
    <w:rsid w:val="7C231B6A"/>
    <w:rsid w:val="7C2D166E"/>
    <w:rsid w:val="7C3004E9"/>
    <w:rsid w:val="7C352C3C"/>
    <w:rsid w:val="7C402DC0"/>
    <w:rsid w:val="7C42146D"/>
    <w:rsid w:val="7C431890"/>
    <w:rsid w:val="7C455A03"/>
    <w:rsid w:val="7C46358F"/>
    <w:rsid w:val="7C5235E8"/>
    <w:rsid w:val="7C560E66"/>
    <w:rsid w:val="7C5A69A9"/>
    <w:rsid w:val="7C76139D"/>
    <w:rsid w:val="7C86627E"/>
    <w:rsid w:val="7C902C69"/>
    <w:rsid w:val="7C943EFA"/>
    <w:rsid w:val="7C9B5E75"/>
    <w:rsid w:val="7C9E1DC2"/>
    <w:rsid w:val="7CB1607B"/>
    <w:rsid w:val="7CB22A7F"/>
    <w:rsid w:val="7CB6056C"/>
    <w:rsid w:val="7CB86601"/>
    <w:rsid w:val="7CC51573"/>
    <w:rsid w:val="7CCC5DCB"/>
    <w:rsid w:val="7CD5443E"/>
    <w:rsid w:val="7CD87C72"/>
    <w:rsid w:val="7CE713DA"/>
    <w:rsid w:val="7CFD4F92"/>
    <w:rsid w:val="7D165668"/>
    <w:rsid w:val="7D1E7890"/>
    <w:rsid w:val="7D272F8B"/>
    <w:rsid w:val="7D296B44"/>
    <w:rsid w:val="7D2D63C4"/>
    <w:rsid w:val="7D3527F4"/>
    <w:rsid w:val="7D3828C0"/>
    <w:rsid w:val="7D3B7807"/>
    <w:rsid w:val="7D3D61DC"/>
    <w:rsid w:val="7D470F6C"/>
    <w:rsid w:val="7D472501"/>
    <w:rsid w:val="7D4F15A2"/>
    <w:rsid w:val="7D6F4AB7"/>
    <w:rsid w:val="7D8F6E98"/>
    <w:rsid w:val="7D9B5AE7"/>
    <w:rsid w:val="7D9D7BD9"/>
    <w:rsid w:val="7D9F6383"/>
    <w:rsid w:val="7DAC3944"/>
    <w:rsid w:val="7DB75882"/>
    <w:rsid w:val="7DBA6C3F"/>
    <w:rsid w:val="7DBB11DB"/>
    <w:rsid w:val="7DC75A9A"/>
    <w:rsid w:val="7DCC5093"/>
    <w:rsid w:val="7DD33820"/>
    <w:rsid w:val="7DEF2BA0"/>
    <w:rsid w:val="7DF41B1B"/>
    <w:rsid w:val="7E0361AC"/>
    <w:rsid w:val="7E0D256D"/>
    <w:rsid w:val="7E0E521A"/>
    <w:rsid w:val="7E122526"/>
    <w:rsid w:val="7E142131"/>
    <w:rsid w:val="7E157037"/>
    <w:rsid w:val="7E29173D"/>
    <w:rsid w:val="7E29625B"/>
    <w:rsid w:val="7E2A5025"/>
    <w:rsid w:val="7E2E0A24"/>
    <w:rsid w:val="7E3475ED"/>
    <w:rsid w:val="7E371CBF"/>
    <w:rsid w:val="7E3878B3"/>
    <w:rsid w:val="7E4705DD"/>
    <w:rsid w:val="7E4E20C0"/>
    <w:rsid w:val="7E51187F"/>
    <w:rsid w:val="7E5451F3"/>
    <w:rsid w:val="7E5A49F9"/>
    <w:rsid w:val="7E5D2F33"/>
    <w:rsid w:val="7E6A6238"/>
    <w:rsid w:val="7E6D681F"/>
    <w:rsid w:val="7E742FE5"/>
    <w:rsid w:val="7E9341F9"/>
    <w:rsid w:val="7E9533D1"/>
    <w:rsid w:val="7E977A27"/>
    <w:rsid w:val="7E9E133E"/>
    <w:rsid w:val="7EA42208"/>
    <w:rsid w:val="7EB2376F"/>
    <w:rsid w:val="7EB30370"/>
    <w:rsid w:val="7EC6658B"/>
    <w:rsid w:val="7ECF321E"/>
    <w:rsid w:val="7ED376FB"/>
    <w:rsid w:val="7EE61A0F"/>
    <w:rsid w:val="7EEB6599"/>
    <w:rsid w:val="7EF87786"/>
    <w:rsid w:val="7EFF06AC"/>
    <w:rsid w:val="7F001583"/>
    <w:rsid w:val="7F045366"/>
    <w:rsid w:val="7F064738"/>
    <w:rsid w:val="7F0661BC"/>
    <w:rsid w:val="7F0C4577"/>
    <w:rsid w:val="7F1461EA"/>
    <w:rsid w:val="7F1C2950"/>
    <w:rsid w:val="7F2A492D"/>
    <w:rsid w:val="7F336E18"/>
    <w:rsid w:val="7F344AE7"/>
    <w:rsid w:val="7F39050D"/>
    <w:rsid w:val="7F3F11CB"/>
    <w:rsid w:val="7F484E4F"/>
    <w:rsid w:val="7F4D0362"/>
    <w:rsid w:val="7F580778"/>
    <w:rsid w:val="7F6B0CB3"/>
    <w:rsid w:val="7F6C22EA"/>
    <w:rsid w:val="7F702395"/>
    <w:rsid w:val="7F7E325D"/>
    <w:rsid w:val="7F8128FC"/>
    <w:rsid w:val="7F8F0DA3"/>
    <w:rsid w:val="7F953A44"/>
    <w:rsid w:val="7FA32206"/>
    <w:rsid w:val="7FA54BBC"/>
    <w:rsid w:val="7FA67086"/>
    <w:rsid w:val="7FBA461D"/>
    <w:rsid w:val="7FC41AD7"/>
    <w:rsid w:val="7FCD7503"/>
    <w:rsid w:val="7FD51FC5"/>
    <w:rsid w:val="7FE252A4"/>
    <w:rsid w:val="7FE30A57"/>
    <w:rsid w:val="DFFD23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nhideWhenUsed="0" w:uiPriority="0" w:semiHidden="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59"/>
    <w:qFormat/>
    <w:uiPriority w:val="0"/>
    <w:pPr>
      <w:keepNext/>
      <w:spacing w:before="240" w:after="60"/>
      <w:outlineLvl w:val="0"/>
    </w:pPr>
    <w:rPr>
      <w:rFonts w:ascii="Cambria" w:hAnsi="Cambria"/>
      <w:b/>
      <w:bCs/>
      <w:kern w:val="32"/>
      <w:sz w:val="32"/>
      <w:szCs w:val="32"/>
    </w:rPr>
  </w:style>
  <w:style w:type="paragraph" w:styleId="8">
    <w:name w:val="heading 2"/>
    <w:basedOn w:val="1"/>
    <w:next w:val="1"/>
    <w:link w:val="60"/>
    <w:qFormat/>
    <w:uiPriority w:val="0"/>
    <w:pPr>
      <w:keepNext/>
      <w:keepLines/>
      <w:spacing w:before="260" w:after="260" w:line="413" w:lineRule="auto"/>
      <w:outlineLvl w:val="1"/>
    </w:pPr>
    <w:rPr>
      <w:rFonts w:ascii="Cambria" w:hAnsi="Cambria"/>
      <w:b/>
      <w:bCs/>
      <w:sz w:val="32"/>
      <w:szCs w:val="32"/>
    </w:rPr>
  </w:style>
  <w:style w:type="paragraph" w:styleId="9">
    <w:name w:val="heading 3"/>
    <w:basedOn w:val="1"/>
    <w:next w:val="1"/>
    <w:link w:val="61"/>
    <w:qFormat/>
    <w:uiPriority w:val="0"/>
    <w:pPr>
      <w:widowControl/>
      <w:spacing w:line="360" w:lineRule="auto"/>
      <w:outlineLvl w:val="2"/>
    </w:pPr>
    <w:rPr>
      <w:b/>
      <w:bCs/>
      <w:kern w:val="0"/>
      <w:sz w:val="24"/>
    </w:rPr>
  </w:style>
  <w:style w:type="paragraph" w:styleId="10">
    <w:name w:val="heading 4"/>
    <w:basedOn w:val="1"/>
    <w:next w:val="1"/>
    <w:link w:val="62"/>
    <w:qFormat/>
    <w:uiPriority w:val="0"/>
    <w:pPr>
      <w:keepNext/>
      <w:keepLines/>
      <w:spacing w:line="360" w:lineRule="auto"/>
      <w:outlineLvl w:val="3"/>
    </w:pPr>
    <w:rPr>
      <w:rFonts w:ascii="Arial" w:hAnsi="Arial"/>
      <w:b/>
      <w:bCs/>
      <w:szCs w:val="28"/>
    </w:rPr>
  </w:style>
  <w:style w:type="paragraph" w:styleId="11">
    <w:name w:val="heading 5"/>
    <w:basedOn w:val="1"/>
    <w:next w:val="1"/>
    <w:link w:val="63"/>
    <w:qFormat/>
    <w:uiPriority w:val="0"/>
    <w:pPr>
      <w:keepNext/>
      <w:keepLines/>
      <w:spacing w:before="280" w:after="290" w:line="372" w:lineRule="auto"/>
      <w:outlineLvl w:val="4"/>
    </w:pPr>
    <w:rPr>
      <w:b/>
      <w:bCs/>
      <w:sz w:val="28"/>
      <w:szCs w:val="28"/>
    </w:rPr>
  </w:style>
  <w:style w:type="paragraph" w:styleId="12">
    <w:name w:val="heading 6"/>
    <w:basedOn w:val="1"/>
    <w:next w:val="1"/>
    <w:link w:val="64"/>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3">
    <w:name w:val="heading 7"/>
    <w:basedOn w:val="1"/>
    <w:next w:val="1"/>
    <w:link w:val="65"/>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4">
    <w:name w:val="heading 8"/>
    <w:basedOn w:val="1"/>
    <w:next w:val="1"/>
    <w:link w:val="66"/>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5">
    <w:name w:val="heading 9"/>
    <w:basedOn w:val="1"/>
    <w:next w:val="1"/>
    <w:link w:val="6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4">
    <w:name w:val="Default Paragraph Font"/>
    <w:unhideWhenUsed/>
    <w:qFormat/>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2">
    <w:name w:val="列出段落1"/>
    <w:basedOn w:val="1"/>
    <w:next w:val="3"/>
    <w:qFormat/>
    <w:uiPriority w:val="99"/>
    <w:pPr>
      <w:ind w:firstLine="420" w:firstLineChars="200"/>
    </w:pPr>
  </w:style>
  <w:style w:type="paragraph" w:customStyle="1" w:styleId="3">
    <w:name w:val="Style26"/>
    <w:basedOn w:val="1"/>
    <w:next w:val="4"/>
    <w:unhideWhenUsed/>
    <w:qFormat/>
    <w:uiPriority w:val="99"/>
    <w:rPr>
      <w:rFonts w:ascii="Calibri" w:hAnsi="Calibri"/>
    </w:rPr>
  </w:style>
  <w:style w:type="paragraph" w:styleId="4">
    <w:name w:val="Body Text Indent"/>
    <w:basedOn w:val="1"/>
    <w:next w:val="5"/>
    <w:link w:val="71"/>
    <w:qFormat/>
    <w:uiPriority w:val="0"/>
    <w:pPr>
      <w:spacing w:after="120"/>
      <w:ind w:left="420" w:leftChars="200"/>
    </w:pPr>
  </w:style>
  <w:style w:type="paragraph" w:styleId="5">
    <w:name w:val="Body Text Indent 3"/>
    <w:basedOn w:val="1"/>
    <w:next w:val="6"/>
    <w:link w:val="79"/>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customStyle="1" w:styleId="6">
    <w:name w:val="Style23"/>
    <w:basedOn w:val="1"/>
    <w:next w:val="1"/>
    <w:unhideWhenUsed/>
    <w:qFormat/>
    <w:uiPriority w:val="99"/>
    <w:rPr>
      <w:rFonts w:ascii="Calibri" w:hAnsi="Calibri"/>
    </w:rPr>
  </w:style>
  <w:style w:type="paragraph" w:styleId="16">
    <w:name w:val="toc 7"/>
    <w:basedOn w:val="1"/>
    <w:next w:val="1"/>
    <w:qFormat/>
    <w:uiPriority w:val="39"/>
    <w:pPr>
      <w:ind w:left="2520" w:leftChars="1200"/>
    </w:pPr>
    <w:rPr>
      <w:rFonts w:ascii="Calibri" w:hAnsi="Calibri"/>
      <w:szCs w:val="22"/>
    </w:rPr>
  </w:style>
  <w:style w:type="paragraph" w:styleId="17">
    <w:name w:val="Normal Indent"/>
    <w:basedOn w:val="1"/>
    <w:qFormat/>
    <w:uiPriority w:val="0"/>
    <w:pPr>
      <w:ind w:firstLine="420" w:firstLineChars="200"/>
    </w:p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68"/>
    <w:qFormat/>
    <w:uiPriority w:val="0"/>
    <w:pPr>
      <w:shd w:val="clear" w:color="auto" w:fill="000080"/>
    </w:pPr>
  </w:style>
  <w:style w:type="paragraph" w:styleId="20">
    <w:name w:val="annotation text"/>
    <w:basedOn w:val="1"/>
    <w:link w:val="69"/>
    <w:qFormat/>
    <w:uiPriority w:val="0"/>
    <w:pPr>
      <w:jc w:val="left"/>
    </w:pPr>
  </w:style>
  <w:style w:type="paragraph" w:styleId="21">
    <w:name w:val="Body Text"/>
    <w:basedOn w:val="1"/>
    <w:link w:val="70"/>
    <w:qFormat/>
    <w:uiPriority w:val="0"/>
    <w:pPr>
      <w:spacing w:after="120"/>
    </w:pPr>
  </w:style>
  <w:style w:type="paragraph" w:styleId="22">
    <w:name w:val="index 4"/>
    <w:basedOn w:val="1"/>
    <w:next w:val="1"/>
    <w:qFormat/>
    <w:uiPriority w:val="0"/>
    <w:pPr>
      <w:ind w:left="600" w:leftChars="600"/>
    </w:pPr>
  </w:style>
  <w:style w:type="paragraph" w:styleId="23">
    <w:name w:val="toc 5"/>
    <w:basedOn w:val="1"/>
    <w:next w:val="1"/>
    <w:qFormat/>
    <w:uiPriority w:val="39"/>
    <w:pPr>
      <w:ind w:left="1680" w:leftChars="800"/>
    </w:pPr>
    <w:rPr>
      <w:rFonts w:ascii="Calibri" w:hAnsi="Calibri"/>
      <w:szCs w:val="22"/>
    </w:rPr>
  </w:style>
  <w:style w:type="paragraph" w:styleId="24">
    <w:name w:val="toc 3"/>
    <w:basedOn w:val="1"/>
    <w:next w:val="1"/>
    <w:qFormat/>
    <w:uiPriority w:val="39"/>
    <w:pPr>
      <w:ind w:left="840" w:leftChars="400"/>
    </w:pPr>
  </w:style>
  <w:style w:type="paragraph" w:styleId="25">
    <w:name w:val="Plain Text"/>
    <w:basedOn w:val="1"/>
    <w:link w:val="72"/>
    <w:qFormat/>
    <w:uiPriority w:val="0"/>
    <w:rPr>
      <w:rFonts w:ascii="宋体" w:hAnsi="Courier New" w:eastAsia="仿宋_GB2312"/>
      <w:sz w:val="32"/>
    </w:rPr>
  </w:style>
  <w:style w:type="paragraph" w:styleId="26">
    <w:name w:val="toc 8"/>
    <w:basedOn w:val="1"/>
    <w:next w:val="1"/>
    <w:qFormat/>
    <w:uiPriority w:val="39"/>
    <w:pPr>
      <w:ind w:left="2940" w:leftChars="1400"/>
    </w:pPr>
    <w:rPr>
      <w:rFonts w:ascii="Calibri" w:hAnsi="Calibri"/>
      <w:szCs w:val="22"/>
    </w:rPr>
  </w:style>
  <w:style w:type="paragraph" w:styleId="27">
    <w:name w:val="Date"/>
    <w:basedOn w:val="1"/>
    <w:next w:val="1"/>
    <w:link w:val="73"/>
    <w:qFormat/>
    <w:uiPriority w:val="0"/>
    <w:pPr>
      <w:ind w:left="100" w:leftChars="2500"/>
    </w:pPr>
  </w:style>
  <w:style w:type="paragraph" w:styleId="28">
    <w:name w:val="Body Text Indent 2"/>
    <w:basedOn w:val="1"/>
    <w:link w:val="74"/>
    <w:qFormat/>
    <w:uiPriority w:val="0"/>
    <w:pPr>
      <w:autoSpaceDE w:val="0"/>
      <w:autoSpaceDN w:val="0"/>
      <w:adjustRightInd w:val="0"/>
      <w:spacing w:line="410" w:lineRule="atLeast"/>
      <w:ind w:left="480"/>
      <w:jc w:val="left"/>
    </w:pPr>
    <w:rPr>
      <w:rFonts w:ascii="宋体" w:hAnsi="Calibri"/>
      <w:color w:val="000000"/>
    </w:rPr>
  </w:style>
  <w:style w:type="paragraph" w:styleId="29">
    <w:name w:val="Balloon Text"/>
    <w:basedOn w:val="1"/>
    <w:link w:val="75"/>
    <w:qFormat/>
    <w:uiPriority w:val="0"/>
    <w:rPr>
      <w:sz w:val="18"/>
      <w:szCs w:val="18"/>
    </w:rPr>
  </w:style>
  <w:style w:type="paragraph" w:styleId="30">
    <w:name w:val="footer"/>
    <w:basedOn w:val="1"/>
    <w:link w:val="76"/>
    <w:qFormat/>
    <w:uiPriority w:val="99"/>
    <w:pPr>
      <w:tabs>
        <w:tab w:val="center" w:pos="4153"/>
        <w:tab w:val="right" w:pos="8306"/>
      </w:tabs>
      <w:snapToGrid w:val="0"/>
      <w:jc w:val="left"/>
    </w:pPr>
    <w:rPr>
      <w:sz w:val="18"/>
      <w:szCs w:val="18"/>
    </w:rPr>
  </w:style>
  <w:style w:type="paragraph" w:styleId="31">
    <w:name w:val="header"/>
    <w:basedOn w:val="1"/>
    <w:link w:val="77"/>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style>
  <w:style w:type="paragraph" w:styleId="33">
    <w:name w:val="toc 4"/>
    <w:basedOn w:val="1"/>
    <w:next w:val="1"/>
    <w:qFormat/>
    <w:uiPriority w:val="39"/>
    <w:pPr>
      <w:ind w:left="1260" w:leftChars="600"/>
    </w:pPr>
  </w:style>
  <w:style w:type="paragraph" w:styleId="34">
    <w:name w:val="Subtitle"/>
    <w:basedOn w:val="1"/>
    <w:next w:val="1"/>
    <w:link w:val="78"/>
    <w:qFormat/>
    <w:uiPriority w:val="0"/>
    <w:pPr>
      <w:spacing w:before="240" w:after="60" w:line="312" w:lineRule="auto"/>
      <w:jc w:val="center"/>
      <w:outlineLvl w:val="1"/>
    </w:pPr>
    <w:rPr>
      <w:rFonts w:ascii="Cambria" w:hAnsi="Cambria"/>
      <w:b/>
      <w:bCs/>
      <w:kern w:val="28"/>
      <w:sz w:val="32"/>
      <w:szCs w:val="32"/>
    </w:rPr>
  </w:style>
  <w:style w:type="paragraph" w:styleId="35">
    <w:name w:val="toc 6"/>
    <w:basedOn w:val="1"/>
    <w:next w:val="1"/>
    <w:qFormat/>
    <w:uiPriority w:val="39"/>
    <w:pPr>
      <w:ind w:left="2100" w:leftChars="1000"/>
    </w:pPr>
    <w:rPr>
      <w:rFonts w:ascii="Calibri" w:hAnsi="Calibri"/>
      <w:szCs w:val="22"/>
    </w:rPr>
  </w:style>
  <w:style w:type="paragraph" w:styleId="36">
    <w:name w:val="toc 2"/>
    <w:basedOn w:val="1"/>
    <w:next w:val="1"/>
    <w:qFormat/>
    <w:uiPriority w:val="39"/>
    <w:pPr>
      <w:ind w:left="420" w:leftChars="200"/>
    </w:pPr>
  </w:style>
  <w:style w:type="paragraph" w:styleId="37">
    <w:name w:val="toc 9"/>
    <w:basedOn w:val="1"/>
    <w:next w:val="1"/>
    <w:qFormat/>
    <w:uiPriority w:val="39"/>
    <w:pPr>
      <w:ind w:left="3360" w:leftChars="1600"/>
    </w:pPr>
    <w:rPr>
      <w:rFonts w:ascii="Calibri" w:hAnsi="Calibri"/>
      <w:szCs w:val="22"/>
    </w:rPr>
  </w:style>
  <w:style w:type="paragraph" w:styleId="38">
    <w:name w:val="Normal (Web)"/>
    <w:basedOn w:val="1"/>
    <w:qFormat/>
    <w:uiPriority w:val="99"/>
    <w:pPr>
      <w:widowControl/>
      <w:spacing w:before="100" w:beforeAutospacing="1" w:after="100" w:afterAutospacing="1"/>
      <w:jc w:val="left"/>
    </w:pPr>
    <w:rPr>
      <w:kern w:val="0"/>
    </w:rPr>
  </w:style>
  <w:style w:type="paragraph" w:styleId="39">
    <w:name w:val="Title"/>
    <w:basedOn w:val="1"/>
    <w:next w:val="1"/>
    <w:link w:val="80"/>
    <w:qFormat/>
    <w:uiPriority w:val="0"/>
    <w:pPr>
      <w:spacing w:before="240" w:after="60"/>
      <w:jc w:val="center"/>
      <w:outlineLvl w:val="0"/>
    </w:pPr>
    <w:rPr>
      <w:rFonts w:ascii="Cambria" w:hAnsi="Cambria"/>
      <w:b/>
      <w:sz w:val="32"/>
    </w:rPr>
  </w:style>
  <w:style w:type="paragraph" w:styleId="40">
    <w:name w:val="annotation subject"/>
    <w:basedOn w:val="20"/>
    <w:next w:val="20"/>
    <w:link w:val="81"/>
    <w:qFormat/>
    <w:uiPriority w:val="0"/>
    <w:rPr>
      <w:b/>
      <w:bCs/>
    </w:rPr>
  </w:style>
  <w:style w:type="paragraph" w:styleId="41">
    <w:name w:val="Body Text First Indent"/>
    <w:basedOn w:val="21"/>
    <w:unhideWhenUsed/>
    <w:qFormat/>
    <w:uiPriority w:val="0"/>
    <w:pPr>
      <w:spacing w:after="120"/>
      <w:ind w:firstLine="420" w:firstLineChars="100"/>
    </w:pPr>
    <w:rPr>
      <w:sz w:val="30"/>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rPr>
  </w:style>
  <w:style w:type="character" w:styleId="46">
    <w:name w:val="page number"/>
    <w:qFormat/>
    <w:uiPriority w:val="0"/>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TML Definition"/>
    <w:basedOn w:val="44"/>
    <w:semiHidden/>
    <w:unhideWhenUsed/>
    <w:qFormat/>
    <w:uiPriority w:val="0"/>
  </w:style>
  <w:style w:type="character" w:styleId="50">
    <w:name w:val="HTML Typewriter"/>
    <w:basedOn w:val="44"/>
    <w:semiHidden/>
    <w:unhideWhenUsed/>
    <w:qFormat/>
    <w:uiPriority w:val="0"/>
    <w:rPr>
      <w:rFonts w:hint="default" w:ascii="monospace" w:hAnsi="monospace" w:eastAsia="monospace" w:cs="monospace"/>
      <w:sz w:val="20"/>
    </w:rPr>
  </w:style>
  <w:style w:type="character" w:styleId="51">
    <w:name w:val="HTML Acronym"/>
    <w:basedOn w:val="44"/>
    <w:semiHidden/>
    <w:unhideWhenUsed/>
    <w:qFormat/>
    <w:uiPriority w:val="0"/>
  </w:style>
  <w:style w:type="character" w:styleId="52">
    <w:name w:val="HTML Variable"/>
    <w:basedOn w:val="44"/>
    <w:semiHidden/>
    <w:unhideWhenUsed/>
    <w:qFormat/>
    <w:uiPriority w:val="0"/>
  </w:style>
  <w:style w:type="character" w:styleId="53">
    <w:name w:val="Hyperlink"/>
    <w:qFormat/>
    <w:uiPriority w:val="99"/>
    <w:rPr>
      <w:color w:val="0000FF"/>
      <w:u w:val="single"/>
    </w:rPr>
  </w:style>
  <w:style w:type="character" w:styleId="54">
    <w:name w:val="HTML Code"/>
    <w:basedOn w:val="44"/>
    <w:qFormat/>
    <w:uiPriority w:val="0"/>
    <w:rPr>
      <w:rFonts w:hint="default" w:ascii="monospace" w:hAnsi="monospace" w:eastAsia="monospace" w:cs="monospace"/>
      <w:sz w:val="20"/>
    </w:rPr>
  </w:style>
  <w:style w:type="character" w:styleId="55">
    <w:name w:val="annotation reference"/>
    <w:qFormat/>
    <w:uiPriority w:val="0"/>
    <w:rPr>
      <w:sz w:val="21"/>
      <w:szCs w:val="21"/>
    </w:rPr>
  </w:style>
  <w:style w:type="character" w:styleId="56">
    <w:name w:val="HTML Cite"/>
    <w:basedOn w:val="44"/>
    <w:semiHidden/>
    <w:unhideWhenUsed/>
    <w:qFormat/>
    <w:uiPriority w:val="0"/>
  </w:style>
  <w:style w:type="character" w:styleId="57">
    <w:name w:val="HTML Keyboard"/>
    <w:basedOn w:val="44"/>
    <w:semiHidden/>
    <w:unhideWhenUsed/>
    <w:qFormat/>
    <w:uiPriority w:val="0"/>
    <w:rPr>
      <w:rFonts w:ascii="monospace" w:hAnsi="monospace" w:eastAsia="monospace" w:cs="monospace"/>
      <w:sz w:val="20"/>
    </w:rPr>
  </w:style>
  <w:style w:type="character" w:styleId="58">
    <w:name w:val="HTML Sample"/>
    <w:basedOn w:val="44"/>
    <w:semiHidden/>
    <w:unhideWhenUsed/>
    <w:qFormat/>
    <w:uiPriority w:val="0"/>
    <w:rPr>
      <w:rFonts w:hint="default" w:ascii="monospace" w:hAnsi="monospace" w:eastAsia="monospace" w:cs="monospace"/>
    </w:rPr>
  </w:style>
  <w:style w:type="character" w:customStyle="1" w:styleId="59">
    <w:name w:val="标题 1 字符"/>
    <w:link w:val="7"/>
    <w:qFormat/>
    <w:uiPriority w:val="0"/>
    <w:rPr>
      <w:rFonts w:ascii="Cambria" w:hAnsi="Cambria"/>
      <w:b/>
      <w:bCs/>
      <w:kern w:val="32"/>
      <w:sz w:val="32"/>
      <w:szCs w:val="32"/>
    </w:rPr>
  </w:style>
  <w:style w:type="character" w:customStyle="1" w:styleId="60">
    <w:name w:val="标题 2 字符"/>
    <w:link w:val="8"/>
    <w:qFormat/>
    <w:uiPriority w:val="0"/>
    <w:rPr>
      <w:rFonts w:ascii="Cambria" w:hAnsi="Cambria" w:eastAsia="宋体" w:cs="Times New Roman"/>
      <w:b/>
      <w:bCs/>
      <w:kern w:val="2"/>
      <w:sz w:val="32"/>
      <w:szCs w:val="32"/>
    </w:rPr>
  </w:style>
  <w:style w:type="character" w:customStyle="1" w:styleId="61">
    <w:name w:val="标题 3 字符"/>
    <w:link w:val="9"/>
    <w:qFormat/>
    <w:uiPriority w:val="0"/>
    <w:rPr>
      <w:b/>
      <w:bCs/>
      <w:sz w:val="24"/>
      <w:szCs w:val="24"/>
    </w:rPr>
  </w:style>
  <w:style w:type="character" w:customStyle="1" w:styleId="62">
    <w:name w:val="标题 4 字符"/>
    <w:link w:val="10"/>
    <w:qFormat/>
    <w:uiPriority w:val="0"/>
    <w:rPr>
      <w:rFonts w:ascii="Arial" w:hAnsi="Arial"/>
      <w:b/>
      <w:bCs/>
      <w:kern w:val="2"/>
      <w:sz w:val="21"/>
      <w:szCs w:val="28"/>
    </w:rPr>
  </w:style>
  <w:style w:type="character" w:customStyle="1" w:styleId="63">
    <w:name w:val="标题 5 字符"/>
    <w:link w:val="11"/>
    <w:qFormat/>
    <w:uiPriority w:val="0"/>
    <w:rPr>
      <w:b/>
      <w:bCs/>
      <w:kern w:val="2"/>
      <w:sz w:val="28"/>
      <w:szCs w:val="28"/>
    </w:rPr>
  </w:style>
  <w:style w:type="character" w:customStyle="1" w:styleId="64">
    <w:name w:val="标题 6 字符"/>
    <w:link w:val="12"/>
    <w:qFormat/>
    <w:uiPriority w:val="0"/>
    <w:rPr>
      <w:rFonts w:ascii="Arial" w:hAnsi="Arial" w:eastAsia="黑体"/>
      <w:b/>
      <w:bCs/>
      <w:sz w:val="24"/>
      <w:szCs w:val="24"/>
    </w:rPr>
  </w:style>
  <w:style w:type="character" w:customStyle="1" w:styleId="65">
    <w:name w:val="标题 7 字符"/>
    <w:link w:val="13"/>
    <w:qFormat/>
    <w:uiPriority w:val="0"/>
    <w:rPr>
      <w:b/>
      <w:bCs/>
      <w:sz w:val="24"/>
      <w:szCs w:val="24"/>
    </w:rPr>
  </w:style>
  <w:style w:type="character" w:customStyle="1" w:styleId="66">
    <w:name w:val="标题 8 字符"/>
    <w:link w:val="14"/>
    <w:qFormat/>
    <w:uiPriority w:val="0"/>
    <w:rPr>
      <w:rFonts w:ascii="Arial" w:hAnsi="Arial" w:eastAsia="黑体"/>
      <w:sz w:val="24"/>
      <w:szCs w:val="24"/>
    </w:rPr>
  </w:style>
  <w:style w:type="character" w:customStyle="1" w:styleId="67">
    <w:name w:val="标题 9 字符"/>
    <w:link w:val="15"/>
    <w:qFormat/>
    <w:uiPriority w:val="0"/>
    <w:rPr>
      <w:rFonts w:ascii="Arial" w:hAnsi="Arial" w:eastAsia="黑体"/>
      <w:sz w:val="21"/>
      <w:szCs w:val="21"/>
    </w:rPr>
  </w:style>
  <w:style w:type="character" w:customStyle="1" w:styleId="68">
    <w:name w:val="文档结构图 字符"/>
    <w:link w:val="19"/>
    <w:qFormat/>
    <w:uiPriority w:val="0"/>
    <w:rPr>
      <w:kern w:val="2"/>
      <w:sz w:val="21"/>
      <w:szCs w:val="24"/>
      <w:shd w:val="clear" w:color="auto" w:fill="000080"/>
    </w:rPr>
  </w:style>
  <w:style w:type="character" w:customStyle="1" w:styleId="69">
    <w:name w:val="批注文字 字符"/>
    <w:link w:val="20"/>
    <w:qFormat/>
    <w:uiPriority w:val="0"/>
    <w:rPr>
      <w:kern w:val="2"/>
      <w:sz w:val="21"/>
      <w:szCs w:val="24"/>
    </w:rPr>
  </w:style>
  <w:style w:type="character" w:customStyle="1" w:styleId="70">
    <w:name w:val="正文文本 字符"/>
    <w:link w:val="21"/>
    <w:qFormat/>
    <w:uiPriority w:val="0"/>
    <w:rPr>
      <w:kern w:val="2"/>
      <w:sz w:val="21"/>
      <w:szCs w:val="24"/>
    </w:rPr>
  </w:style>
  <w:style w:type="character" w:customStyle="1" w:styleId="71">
    <w:name w:val="正文文本缩进 字符"/>
    <w:link w:val="4"/>
    <w:qFormat/>
    <w:uiPriority w:val="0"/>
    <w:rPr>
      <w:kern w:val="2"/>
      <w:sz w:val="21"/>
      <w:szCs w:val="24"/>
    </w:rPr>
  </w:style>
  <w:style w:type="character" w:customStyle="1" w:styleId="72">
    <w:name w:val="纯文本 字符"/>
    <w:link w:val="25"/>
    <w:qFormat/>
    <w:uiPriority w:val="0"/>
    <w:rPr>
      <w:rFonts w:ascii="宋体" w:hAnsi="Courier New" w:eastAsia="仿宋_GB2312"/>
      <w:kern w:val="2"/>
      <w:sz w:val="32"/>
      <w:szCs w:val="24"/>
    </w:rPr>
  </w:style>
  <w:style w:type="character" w:customStyle="1" w:styleId="73">
    <w:name w:val="日期 字符"/>
    <w:link w:val="27"/>
    <w:qFormat/>
    <w:uiPriority w:val="0"/>
    <w:rPr>
      <w:kern w:val="2"/>
      <w:sz w:val="21"/>
      <w:szCs w:val="24"/>
    </w:rPr>
  </w:style>
  <w:style w:type="character" w:customStyle="1" w:styleId="74">
    <w:name w:val="正文文本缩进 2 字符"/>
    <w:link w:val="28"/>
    <w:qFormat/>
    <w:uiPriority w:val="0"/>
    <w:rPr>
      <w:rFonts w:ascii="宋体" w:hAnsi="Calibri"/>
      <w:color w:val="000000"/>
      <w:kern w:val="2"/>
      <w:sz w:val="21"/>
      <w:szCs w:val="24"/>
    </w:rPr>
  </w:style>
  <w:style w:type="character" w:customStyle="1" w:styleId="75">
    <w:name w:val="批注框文本 字符"/>
    <w:link w:val="29"/>
    <w:qFormat/>
    <w:uiPriority w:val="0"/>
    <w:rPr>
      <w:kern w:val="2"/>
      <w:sz w:val="18"/>
      <w:szCs w:val="18"/>
    </w:rPr>
  </w:style>
  <w:style w:type="character" w:customStyle="1" w:styleId="76">
    <w:name w:val="页脚 字符"/>
    <w:link w:val="30"/>
    <w:qFormat/>
    <w:uiPriority w:val="99"/>
    <w:rPr>
      <w:kern w:val="2"/>
      <w:sz w:val="18"/>
      <w:szCs w:val="18"/>
    </w:rPr>
  </w:style>
  <w:style w:type="character" w:customStyle="1" w:styleId="77">
    <w:name w:val="页眉 字符"/>
    <w:link w:val="31"/>
    <w:qFormat/>
    <w:uiPriority w:val="0"/>
    <w:rPr>
      <w:kern w:val="2"/>
      <w:sz w:val="18"/>
      <w:szCs w:val="18"/>
    </w:rPr>
  </w:style>
  <w:style w:type="character" w:customStyle="1" w:styleId="78">
    <w:name w:val="副标题 字符"/>
    <w:link w:val="34"/>
    <w:qFormat/>
    <w:uiPriority w:val="0"/>
    <w:rPr>
      <w:rFonts w:ascii="Cambria" w:hAnsi="Cambria"/>
      <w:b/>
      <w:bCs/>
      <w:kern w:val="28"/>
      <w:sz w:val="32"/>
      <w:szCs w:val="32"/>
    </w:rPr>
  </w:style>
  <w:style w:type="character" w:customStyle="1" w:styleId="79">
    <w:name w:val="正文文本缩进 3 字符"/>
    <w:link w:val="5"/>
    <w:qFormat/>
    <w:uiPriority w:val="0"/>
    <w:rPr>
      <w:rFonts w:ascii="宋体" w:hAnsi="MS Sans Serif"/>
      <w:color w:val="000000"/>
      <w:sz w:val="24"/>
    </w:rPr>
  </w:style>
  <w:style w:type="character" w:customStyle="1" w:styleId="80">
    <w:name w:val="标题 字符"/>
    <w:link w:val="39"/>
    <w:qFormat/>
    <w:uiPriority w:val="0"/>
    <w:rPr>
      <w:rFonts w:ascii="Cambria" w:hAnsi="Cambria"/>
      <w:b/>
      <w:kern w:val="2"/>
      <w:sz w:val="32"/>
      <w:szCs w:val="24"/>
    </w:rPr>
  </w:style>
  <w:style w:type="character" w:customStyle="1" w:styleId="81">
    <w:name w:val="批注主题 字符"/>
    <w:link w:val="40"/>
    <w:qFormat/>
    <w:uiPriority w:val="0"/>
    <w:rPr>
      <w:b/>
      <w:bCs/>
      <w:kern w:val="2"/>
      <w:sz w:val="21"/>
      <w:szCs w:val="24"/>
    </w:rPr>
  </w:style>
  <w:style w:type="character" w:customStyle="1" w:styleId="82">
    <w:name w:val="页眉 Char1"/>
    <w:semiHidden/>
    <w:qFormat/>
    <w:uiPriority w:val="99"/>
    <w:rPr>
      <w:rFonts w:ascii="Times New Roman" w:hAnsi="Times New Roman" w:eastAsia="宋体" w:cs="Times New Roman"/>
      <w:sz w:val="18"/>
      <w:szCs w:val="18"/>
    </w:rPr>
  </w:style>
  <w:style w:type="character" w:customStyle="1" w:styleId="83">
    <w:name w:val="p0 Char"/>
    <w:link w:val="84"/>
    <w:qFormat/>
    <w:uiPriority w:val="0"/>
    <w:rPr>
      <w:rFonts w:eastAsia="宋体"/>
      <w:kern w:val="2"/>
      <w:sz w:val="21"/>
      <w:szCs w:val="21"/>
      <w:lang w:val="en-US" w:eastAsia="zh-CN" w:bidi="ar-SA"/>
    </w:rPr>
  </w:style>
  <w:style w:type="paragraph" w:customStyle="1" w:styleId="84">
    <w:name w:val="p0"/>
    <w:basedOn w:val="1"/>
    <w:link w:val="83"/>
    <w:qFormat/>
    <w:uiPriority w:val="0"/>
    <w:pPr>
      <w:widowControl/>
    </w:pPr>
    <w:rPr>
      <w:szCs w:val="21"/>
    </w:rPr>
  </w:style>
  <w:style w:type="character" w:customStyle="1" w:styleId="85">
    <w:name w:val="标题 4 Char Char"/>
    <w:qFormat/>
    <w:uiPriority w:val="0"/>
    <w:rPr>
      <w:rFonts w:ascii="Arial" w:hAnsi="Arial" w:eastAsia="宋体"/>
      <w:b/>
      <w:bCs/>
      <w:kern w:val="2"/>
      <w:sz w:val="21"/>
      <w:szCs w:val="28"/>
      <w:lang w:val="en-US" w:eastAsia="zh-CN" w:bidi="ar-SA"/>
    </w:rPr>
  </w:style>
  <w:style w:type="character" w:customStyle="1" w:styleId="86">
    <w:name w:val="批注框文本 Char1"/>
    <w:qFormat/>
    <w:uiPriority w:val="0"/>
    <w:rPr>
      <w:rFonts w:ascii="Times New Roman" w:hAnsi="Times New Roman" w:eastAsia="宋体" w:cs="Times New Roman"/>
      <w:sz w:val="18"/>
      <w:szCs w:val="18"/>
    </w:rPr>
  </w:style>
  <w:style w:type="character" w:customStyle="1" w:styleId="87">
    <w:name w:val="纯文本 Char Char"/>
    <w:qFormat/>
    <w:uiPriority w:val="0"/>
    <w:rPr>
      <w:rFonts w:ascii="宋体" w:hAnsi="Courier New" w:eastAsia="仿宋_GB2312"/>
      <w:kern w:val="2"/>
      <w:sz w:val="32"/>
      <w:szCs w:val="24"/>
      <w:lang w:bidi="ar-SA"/>
    </w:rPr>
  </w:style>
  <w:style w:type="character" w:customStyle="1" w:styleId="88">
    <w:name w:val="标题 3 Char1"/>
    <w:qFormat/>
    <w:uiPriority w:val="0"/>
    <w:rPr>
      <w:b/>
      <w:bCs/>
      <w:sz w:val="24"/>
      <w:szCs w:val="24"/>
    </w:rPr>
  </w:style>
  <w:style w:type="character" w:customStyle="1" w:styleId="89">
    <w:name w:val="Font Style119"/>
    <w:unhideWhenUsed/>
    <w:qFormat/>
    <w:uiPriority w:val="99"/>
    <w:rPr>
      <w:rFonts w:hint="eastAsia" w:ascii="宋体" w:hAnsi="宋体" w:eastAsia="宋体"/>
      <w:sz w:val="24"/>
    </w:rPr>
  </w:style>
  <w:style w:type="character" w:customStyle="1" w:styleId="90">
    <w:name w:val="Font Style131"/>
    <w:unhideWhenUsed/>
    <w:qFormat/>
    <w:uiPriority w:val="99"/>
    <w:rPr>
      <w:rFonts w:hint="eastAsia" w:ascii="Times New Roman" w:hAnsi="Times New Roman" w:eastAsia="Times New Roman"/>
      <w:sz w:val="18"/>
    </w:rPr>
  </w:style>
  <w:style w:type="character" w:customStyle="1" w:styleId="91">
    <w:name w:val="textcontents"/>
    <w:qFormat/>
    <w:uiPriority w:val="0"/>
    <w:rPr>
      <w:rFonts w:cs="Times New Roman"/>
    </w:rPr>
  </w:style>
  <w:style w:type="character" w:customStyle="1" w:styleId="92">
    <w:name w:val="明显引用 Char1"/>
    <w:qFormat/>
    <w:uiPriority w:val="99"/>
    <w:rPr>
      <w:b/>
      <w:bCs/>
      <w:i/>
      <w:iCs/>
      <w:color w:val="4F81BD"/>
      <w:kern w:val="2"/>
      <w:sz w:val="21"/>
      <w:szCs w:val="24"/>
    </w:rPr>
  </w:style>
  <w:style w:type="character" w:customStyle="1" w:styleId="93">
    <w:name w:val="Font Style86"/>
    <w:unhideWhenUsed/>
    <w:qFormat/>
    <w:uiPriority w:val="99"/>
    <w:rPr>
      <w:rFonts w:hint="eastAsia" w:ascii="黑体" w:hAnsi="黑体" w:eastAsia="黑体"/>
      <w:spacing w:val="10"/>
      <w:sz w:val="30"/>
    </w:rPr>
  </w:style>
  <w:style w:type="character" w:customStyle="1" w:styleId="94">
    <w:name w:val="Font Style122"/>
    <w:unhideWhenUsed/>
    <w:qFormat/>
    <w:uiPriority w:val="99"/>
    <w:rPr>
      <w:rFonts w:hint="eastAsia" w:ascii="宋体" w:hAnsi="宋体" w:eastAsia="宋体"/>
      <w:spacing w:val="20"/>
      <w:sz w:val="24"/>
    </w:rPr>
  </w:style>
  <w:style w:type="character" w:customStyle="1" w:styleId="95">
    <w:name w:val="p0 Char Char"/>
    <w:qFormat/>
    <w:uiPriority w:val="0"/>
    <w:rPr>
      <w:rFonts w:eastAsia="宋体"/>
      <w:kern w:val="2"/>
      <w:sz w:val="21"/>
      <w:szCs w:val="21"/>
      <w:lang w:val="en-US" w:eastAsia="zh-CN" w:bidi="ar-SA"/>
    </w:rPr>
  </w:style>
  <w:style w:type="character" w:customStyle="1" w:styleId="96">
    <w:name w:val="Char Char141"/>
    <w:qFormat/>
    <w:uiPriority w:val="0"/>
    <w:rPr>
      <w:rFonts w:ascii="Arial" w:hAnsi="Arial"/>
      <w:b/>
      <w:bCs/>
      <w:kern w:val="2"/>
      <w:sz w:val="21"/>
      <w:szCs w:val="28"/>
    </w:rPr>
  </w:style>
  <w:style w:type="character" w:customStyle="1" w:styleId="97">
    <w:name w:val="明显强调1"/>
    <w:qFormat/>
    <w:uiPriority w:val="0"/>
    <w:rPr>
      <w:b/>
      <w:bCs/>
      <w:i/>
      <w:iCs/>
      <w:color w:val="4F81BD"/>
    </w:rPr>
  </w:style>
  <w:style w:type="character" w:customStyle="1" w:styleId="98">
    <w:name w:val="Font Style126"/>
    <w:unhideWhenUsed/>
    <w:qFormat/>
    <w:uiPriority w:val="99"/>
    <w:rPr>
      <w:rFonts w:hint="eastAsia" w:ascii="宋体" w:hAnsi="宋体" w:eastAsia="宋体"/>
      <w:b/>
      <w:spacing w:val="-30"/>
      <w:sz w:val="28"/>
    </w:rPr>
  </w:style>
  <w:style w:type="character" w:customStyle="1" w:styleId="99">
    <w:name w:val="不明显强调1"/>
    <w:qFormat/>
    <w:uiPriority w:val="0"/>
    <w:rPr>
      <w:i/>
      <w:iCs/>
      <w:color w:val="808080"/>
    </w:rPr>
  </w:style>
  <w:style w:type="character" w:customStyle="1" w:styleId="100">
    <w:name w:val="Char Char14"/>
    <w:qFormat/>
    <w:uiPriority w:val="0"/>
    <w:rPr>
      <w:rFonts w:ascii="Arial" w:hAnsi="Arial"/>
      <w:b/>
      <w:bCs/>
      <w:kern w:val="2"/>
      <w:sz w:val="21"/>
      <w:szCs w:val="28"/>
    </w:rPr>
  </w:style>
  <w:style w:type="character" w:customStyle="1" w:styleId="101">
    <w:name w:val="标题 Char1"/>
    <w:qFormat/>
    <w:uiPriority w:val="0"/>
    <w:rPr>
      <w:rFonts w:ascii="Cambria" w:hAnsi="Cambria" w:eastAsia="宋体" w:cs="Times New Roman"/>
      <w:b/>
      <w:bCs/>
      <w:sz w:val="32"/>
      <w:szCs w:val="32"/>
    </w:rPr>
  </w:style>
  <w:style w:type="character" w:customStyle="1" w:styleId="102">
    <w:name w:val="不明显参考1"/>
    <w:qFormat/>
    <w:uiPriority w:val="0"/>
    <w:rPr>
      <w:smallCaps/>
      <w:color w:val="C0504D"/>
      <w:u w:val="single"/>
    </w:rPr>
  </w:style>
  <w:style w:type="character" w:customStyle="1" w:styleId="103">
    <w:name w:val="Font Style128"/>
    <w:unhideWhenUsed/>
    <w:qFormat/>
    <w:uiPriority w:val="99"/>
    <w:rPr>
      <w:rFonts w:hint="eastAsia" w:ascii="Times New Roman" w:hAnsi="Times New Roman" w:eastAsia="Times New Roman"/>
      <w:sz w:val="16"/>
    </w:rPr>
  </w:style>
  <w:style w:type="character" w:customStyle="1" w:styleId="104">
    <w:name w:val="标题4 Char Char"/>
    <w:link w:val="105"/>
    <w:qFormat/>
    <w:uiPriority w:val="0"/>
    <w:rPr>
      <w:rFonts w:ascii="Arial" w:hAnsi="Arial"/>
      <w:b/>
      <w:bCs/>
      <w:sz w:val="24"/>
      <w:szCs w:val="32"/>
    </w:rPr>
  </w:style>
  <w:style w:type="paragraph" w:customStyle="1" w:styleId="105">
    <w:name w:val="标题4"/>
    <w:basedOn w:val="8"/>
    <w:next w:val="22"/>
    <w:link w:val="104"/>
    <w:qFormat/>
    <w:uiPriority w:val="0"/>
    <w:rPr>
      <w:rFonts w:ascii="Arial" w:hAnsi="Arial"/>
      <w:kern w:val="0"/>
      <w:sz w:val="24"/>
    </w:rPr>
  </w:style>
  <w:style w:type="character" w:customStyle="1" w:styleId="106">
    <w:name w:val="Font Style125"/>
    <w:unhideWhenUsed/>
    <w:qFormat/>
    <w:uiPriority w:val="99"/>
    <w:rPr>
      <w:rFonts w:hint="eastAsia" w:ascii="宋体" w:hAnsi="宋体" w:eastAsia="宋体"/>
      <w:b/>
      <w:sz w:val="26"/>
    </w:rPr>
  </w:style>
  <w:style w:type="character" w:customStyle="1" w:styleId="107">
    <w:name w:val="正文文本缩进 2 Char1"/>
    <w:semiHidden/>
    <w:qFormat/>
    <w:uiPriority w:val="0"/>
    <w:rPr>
      <w:kern w:val="2"/>
      <w:sz w:val="21"/>
      <w:szCs w:val="24"/>
    </w:rPr>
  </w:style>
  <w:style w:type="character" w:customStyle="1" w:styleId="108">
    <w:name w:val="批注文字 Char Char"/>
    <w:qFormat/>
    <w:uiPriority w:val="0"/>
    <w:rPr>
      <w:kern w:val="2"/>
      <w:sz w:val="21"/>
      <w:szCs w:val="24"/>
      <w:lang w:bidi="ar-SA"/>
    </w:rPr>
  </w:style>
  <w:style w:type="character" w:customStyle="1" w:styleId="109">
    <w:name w:val="引用 Char1"/>
    <w:qFormat/>
    <w:uiPriority w:val="99"/>
    <w:rPr>
      <w:i/>
      <w:iCs/>
      <w:color w:val="000000"/>
      <w:kern w:val="2"/>
      <w:sz w:val="21"/>
      <w:szCs w:val="24"/>
    </w:rPr>
  </w:style>
  <w:style w:type="character" w:customStyle="1" w:styleId="110">
    <w:name w:val="_Style 99"/>
    <w:unhideWhenUsed/>
    <w:qFormat/>
    <w:uiPriority w:val="99"/>
    <w:rPr>
      <w:color w:val="605E5C"/>
      <w:shd w:val="clear" w:color="auto" w:fill="E1DFDD"/>
    </w:rPr>
  </w:style>
  <w:style w:type="character" w:customStyle="1" w:styleId="111">
    <w:name w:val="日期 Char1"/>
    <w:qFormat/>
    <w:uiPriority w:val="0"/>
    <w:rPr>
      <w:rFonts w:ascii="Times New Roman" w:hAnsi="Times New Roman" w:eastAsia="宋体" w:cs="Times New Roman"/>
      <w:szCs w:val="24"/>
    </w:rPr>
  </w:style>
  <w:style w:type="character" w:customStyle="1" w:styleId="112">
    <w:name w:val="Font Style124"/>
    <w:unhideWhenUsed/>
    <w:qFormat/>
    <w:uiPriority w:val="99"/>
    <w:rPr>
      <w:rFonts w:hint="eastAsia" w:ascii="宋体" w:hAnsi="宋体" w:eastAsia="宋体"/>
      <w:spacing w:val="30"/>
      <w:sz w:val="24"/>
    </w:rPr>
  </w:style>
  <w:style w:type="character" w:customStyle="1" w:styleId="113">
    <w:name w:val="明显引用 字符"/>
    <w:link w:val="114"/>
    <w:qFormat/>
    <w:uiPriority w:val="0"/>
    <w:rPr>
      <w:b/>
      <w:bCs/>
      <w:i/>
      <w:iCs/>
      <w:color w:val="4F81BD"/>
      <w:kern w:val="2"/>
      <w:sz w:val="21"/>
      <w:szCs w:val="22"/>
    </w:rPr>
  </w:style>
  <w:style w:type="paragraph" w:styleId="114">
    <w:name w:val="Intense Quote"/>
    <w:basedOn w:val="1"/>
    <w:next w:val="1"/>
    <w:link w:val="113"/>
    <w:qFormat/>
    <w:uiPriority w:val="0"/>
    <w:pPr>
      <w:pBdr>
        <w:bottom w:val="single" w:color="4F81BD" w:sz="4" w:space="4"/>
      </w:pBdr>
      <w:spacing w:before="200" w:after="280"/>
      <w:ind w:left="936" w:right="936"/>
    </w:pPr>
    <w:rPr>
      <w:b/>
      <w:bCs/>
      <w:i/>
      <w:iCs/>
      <w:color w:val="4F81BD"/>
      <w:szCs w:val="22"/>
    </w:rPr>
  </w:style>
  <w:style w:type="character" w:customStyle="1" w:styleId="115">
    <w:name w:val="Font Style123"/>
    <w:unhideWhenUsed/>
    <w:qFormat/>
    <w:uiPriority w:val="99"/>
    <w:rPr>
      <w:rFonts w:hint="eastAsia" w:ascii="宋体" w:hAnsi="宋体" w:eastAsia="宋体"/>
      <w:b/>
      <w:sz w:val="32"/>
    </w:rPr>
  </w:style>
  <w:style w:type="character" w:customStyle="1" w:styleId="116">
    <w:name w:val="Font Style121"/>
    <w:unhideWhenUsed/>
    <w:qFormat/>
    <w:uiPriority w:val="99"/>
    <w:rPr>
      <w:rFonts w:hint="eastAsia" w:ascii="宋体" w:hAnsi="宋体" w:eastAsia="宋体"/>
      <w:spacing w:val="-10"/>
      <w:sz w:val="30"/>
    </w:rPr>
  </w:style>
  <w:style w:type="character" w:customStyle="1" w:styleId="117">
    <w:name w:val="批注文字 Char1"/>
    <w:semiHidden/>
    <w:qFormat/>
    <w:uiPriority w:val="99"/>
    <w:rPr>
      <w:rFonts w:ascii="Times New Roman" w:hAnsi="Times New Roman" w:eastAsia="宋体" w:cs="Times New Roman"/>
      <w:szCs w:val="24"/>
    </w:rPr>
  </w:style>
  <w:style w:type="character" w:customStyle="1" w:styleId="118">
    <w:name w:val="书籍标题1"/>
    <w:qFormat/>
    <w:uiPriority w:val="0"/>
    <w:rPr>
      <w:b/>
      <w:bCs/>
      <w:smallCaps/>
      <w:spacing w:val="5"/>
    </w:rPr>
  </w:style>
  <w:style w:type="character" w:customStyle="1" w:styleId="119">
    <w:name w:val="明显参考1"/>
    <w:qFormat/>
    <w:uiPriority w:val="0"/>
    <w:rPr>
      <w:b/>
      <w:bCs/>
      <w:smallCaps/>
      <w:color w:val="C0504D"/>
      <w:spacing w:val="5"/>
      <w:u w:val="single"/>
    </w:rPr>
  </w:style>
  <w:style w:type="character" w:customStyle="1" w:styleId="120">
    <w:name w:val="Font Style117"/>
    <w:unhideWhenUsed/>
    <w:qFormat/>
    <w:uiPriority w:val="99"/>
    <w:rPr>
      <w:rFonts w:hint="eastAsia" w:ascii="宋体" w:hAnsi="宋体" w:eastAsia="宋体"/>
      <w:spacing w:val="20"/>
      <w:sz w:val="24"/>
    </w:rPr>
  </w:style>
  <w:style w:type="character" w:customStyle="1" w:styleId="121">
    <w:name w:val="引用 字符"/>
    <w:link w:val="122"/>
    <w:qFormat/>
    <w:uiPriority w:val="0"/>
    <w:rPr>
      <w:i/>
      <w:iCs/>
      <w:color w:val="000000"/>
      <w:kern w:val="2"/>
      <w:sz w:val="21"/>
      <w:szCs w:val="22"/>
    </w:rPr>
  </w:style>
  <w:style w:type="paragraph" w:styleId="122">
    <w:name w:val="Quote"/>
    <w:basedOn w:val="1"/>
    <w:next w:val="1"/>
    <w:link w:val="121"/>
    <w:qFormat/>
    <w:uiPriority w:val="0"/>
    <w:rPr>
      <w:i/>
      <w:iCs/>
      <w:color w:val="000000"/>
      <w:szCs w:val="22"/>
    </w:rPr>
  </w:style>
  <w:style w:type="character" w:customStyle="1" w:styleId="123">
    <w:name w:val="正文文本缩进 Char1"/>
    <w:semiHidden/>
    <w:qFormat/>
    <w:uiPriority w:val="99"/>
    <w:rPr>
      <w:kern w:val="2"/>
      <w:sz w:val="21"/>
      <w:szCs w:val="24"/>
    </w:rPr>
  </w:style>
  <w:style w:type="character" w:customStyle="1" w:styleId="124">
    <w:name w:val="批注文字 字符1"/>
    <w:qFormat/>
    <w:uiPriority w:val="0"/>
    <w:rPr>
      <w:kern w:val="2"/>
      <w:sz w:val="21"/>
      <w:szCs w:val="24"/>
    </w:rPr>
  </w:style>
  <w:style w:type="character" w:customStyle="1" w:styleId="125">
    <w:name w:val="文档结构图 Char1"/>
    <w:qFormat/>
    <w:uiPriority w:val="0"/>
    <w:rPr>
      <w:rFonts w:ascii="宋体" w:hAnsi="Times New Roman" w:eastAsia="宋体" w:cs="Times New Roman"/>
      <w:sz w:val="18"/>
      <w:szCs w:val="18"/>
    </w:rPr>
  </w:style>
  <w:style w:type="character" w:customStyle="1" w:styleId="126">
    <w:name w:val="正文文本缩进 3 Char1"/>
    <w:qFormat/>
    <w:uiPriority w:val="0"/>
    <w:rPr>
      <w:rFonts w:ascii="Times New Roman" w:hAnsi="Times New Roman" w:eastAsia="宋体" w:cs="Times New Roman"/>
      <w:sz w:val="16"/>
      <w:szCs w:val="16"/>
    </w:rPr>
  </w:style>
  <w:style w:type="character" w:customStyle="1" w:styleId="127">
    <w:name w:val="标题5 Char Char"/>
    <w:link w:val="128"/>
    <w:qFormat/>
    <w:uiPriority w:val="0"/>
    <w:rPr>
      <w:rFonts w:ascii="Arial" w:hAnsi="Arial"/>
      <w:b/>
      <w:bCs/>
      <w:sz w:val="24"/>
      <w:szCs w:val="32"/>
    </w:rPr>
  </w:style>
  <w:style w:type="paragraph" w:customStyle="1" w:styleId="128">
    <w:name w:val="标题5"/>
    <w:basedOn w:val="9"/>
    <w:link w:val="127"/>
    <w:qFormat/>
    <w:uiPriority w:val="0"/>
    <w:pPr>
      <w:keepNext/>
      <w:keepLines/>
      <w:widowControl w:val="0"/>
      <w:spacing w:before="260" w:after="260" w:line="413" w:lineRule="auto"/>
    </w:pPr>
    <w:rPr>
      <w:rFonts w:ascii="Arial" w:hAnsi="Arial"/>
      <w:szCs w:val="32"/>
    </w:rPr>
  </w:style>
  <w:style w:type="character" w:customStyle="1" w:styleId="129">
    <w:name w:val="Font Style127"/>
    <w:unhideWhenUsed/>
    <w:qFormat/>
    <w:uiPriority w:val="99"/>
    <w:rPr>
      <w:rFonts w:hint="eastAsia" w:ascii="Times New Roman" w:hAnsi="Times New Roman" w:eastAsia="Times New Roman"/>
      <w:sz w:val="20"/>
    </w:rPr>
  </w:style>
  <w:style w:type="character" w:customStyle="1" w:styleId="130">
    <w:name w:val="页脚 Char1"/>
    <w:semiHidden/>
    <w:qFormat/>
    <w:uiPriority w:val="99"/>
    <w:rPr>
      <w:rFonts w:ascii="Times New Roman" w:hAnsi="Times New Roman" w:eastAsia="宋体" w:cs="Times New Roman"/>
      <w:sz w:val="18"/>
      <w:szCs w:val="18"/>
    </w:rPr>
  </w:style>
  <w:style w:type="character" w:customStyle="1" w:styleId="131">
    <w:name w:val="纯文本 Char1"/>
    <w:qFormat/>
    <w:uiPriority w:val="0"/>
    <w:rPr>
      <w:rFonts w:ascii="宋体" w:hAnsi="Courier New" w:eastAsia="宋体" w:cs="Courier New"/>
      <w:szCs w:val="21"/>
    </w:rPr>
  </w:style>
  <w:style w:type="character" w:customStyle="1" w:styleId="132">
    <w:name w:val="副标题 Char1"/>
    <w:qFormat/>
    <w:uiPriority w:val="11"/>
    <w:rPr>
      <w:rFonts w:ascii="Cambria" w:hAnsi="Cambria" w:cs="Times New Roman"/>
      <w:b/>
      <w:bCs/>
      <w:kern w:val="28"/>
      <w:sz w:val="32"/>
      <w:szCs w:val="32"/>
    </w:rPr>
  </w:style>
  <w:style w:type="character" w:customStyle="1" w:styleId="133">
    <w:name w:val="批注主题 Char1"/>
    <w:qFormat/>
    <w:uiPriority w:val="0"/>
    <w:rPr>
      <w:rFonts w:ascii="Times New Roman" w:hAnsi="Times New Roman" w:eastAsia="宋体" w:cs="Times New Roman"/>
      <w:b/>
      <w:bCs/>
      <w:szCs w:val="24"/>
    </w:rPr>
  </w:style>
  <w:style w:type="character" w:customStyle="1" w:styleId="134">
    <w:name w:val="标题 4 Char1"/>
    <w:qFormat/>
    <w:uiPriority w:val="0"/>
    <w:rPr>
      <w:rFonts w:ascii="Arial" w:hAnsi="Arial" w:eastAsia="宋体" w:cs="Times New Roman"/>
      <w:b/>
      <w:bCs/>
      <w:szCs w:val="28"/>
    </w:rPr>
  </w:style>
  <w:style w:type="character" w:customStyle="1" w:styleId="135">
    <w:name w:val="正文文本 Char1"/>
    <w:qFormat/>
    <w:uiPriority w:val="0"/>
    <w:rPr>
      <w:kern w:val="2"/>
      <w:sz w:val="21"/>
      <w:szCs w:val="22"/>
    </w:rPr>
  </w:style>
  <w:style w:type="character" w:customStyle="1" w:styleId="136">
    <w:name w:val="Font Style116"/>
    <w:unhideWhenUsed/>
    <w:qFormat/>
    <w:uiPriority w:val="99"/>
    <w:rPr>
      <w:rFonts w:hint="eastAsia" w:ascii="宋体" w:hAnsi="宋体" w:eastAsia="宋体"/>
      <w:spacing w:val="-20"/>
      <w:sz w:val="24"/>
    </w:rPr>
  </w:style>
  <w:style w:type="character" w:customStyle="1" w:styleId="137">
    <w:name w:val="Font Style94"/>
    <w:unhideWhenUsed/>
    <w:qFormat/>
    <w:uiPriority w:val="99"/>
    <w:rPr>
      <w:rFonts w:hint="eastAsia" w:ascii="Times New Roman" w:hAnsi="Times New Roman" w:eastAsia="Times New Roman"/>
      <w:sz w:val="28"/>
    </w:rPr>
  </w:style>
  <w:style w:type="character" w:customStyle="1" w:styleId="138">
    <w:name w:val="Font Style115"/>
    <w:unhideWhenUsed/>
    <w:qFormat/>
    <w:uiPriority w:val="99"/>
    <w:rPr>
      <w:rFonts w:hint="eastAsia" w:ascii="Times New Roman" w:hAnsi="Times New Roman" w:eastAsia="Times New Roman"/>
      <w:sz w:val="16"/>
    </w:rPr>
  </w:style>
  <w:style w:type="paragraph" w:customStyle="1" w:styleId="139">
    <w:name w:val="Style5"/>
    <w:basedOn w:val="1"/>
    <w:unhideWhenUsed/>
    <w:qFormat/>
    <w:uiPriority w:val="99"/>
    <w:rPr>
      <w:rFonts w:ascii="Calibri" w:hAnsi="Calibri"/>
    </w:rPr>
  </w:style>
  <w:style w:type="paragraph" w:customStyle="1" w:styleId="140">
    <w:name w:val="样式2"/>
    <w:basedOn w:val="7"/>
    <w:qFormat/>
    <w:uiPriority w:val="0"/>
    <w:pPr>
      <w:jc w:val="left"/>
    </w:pPr>
    <w:rPr>
      <w:rFonts w:ascii="Times New Roman" w:hAnsi="Times New Roman"/>
      <w:b w:val="0"/>
      <w:bCs w:val="0"/>
      <w:kern w:val="2"/>
      <w:sz w:val="28"/>
      <w:szCs w:val="21"/>
    </w:rPr>
  </w:style>
  <w:style w:type="paragraph" w:customStyle="1" w:styleId="141">
    <w:name w:val="Char Char Char Char Char Char Char Char Char"/>
    <w:basedOn w:val="1"/>
    <w:qFormat/>
    <w:uiPriority w:val="0"/>
    <w:pPr>
      <w:spacing w:line="360" w:lineRule="auto"/>
      <w:ind w:firstLine="200" w:firstLineChars="200"/>
    </w:pPr>
  </w:style>
  <w:style w:type="paragraph" w:customStyle="1" w:styleId="142">
    <w:name w:val="修订2"/>
    <w:qFormat/>
    <w:uiPriority w:val="99"/>
    <w:rPr>
      <w:rFonts w:ascii="Calibri" w:hAnsi="Calibri" w:eastAsia="宋体" w:cs="Times New Roman"/>
      <w:kern w:val="2"/>
      <w:sz w:val="21"/>
      <w:szCs w:val="24"/>
      <w:lang w:val="en-US" w:eastAsia="zh-CN" w:bidi="ar-SA"/>
    </w:rPr>
  </w:style>
  <w:style w:type="paragraph" w:customStyle="1" w:styleId="143">
    <w:name w:val="CM99"/>
    <w:basedOn w:val="1"/>
    <w:next w:val="1"/>
    <w:qFormat/>
    <w:uiPriority w:val="0"/>
    <w:pPr>
      <w:autoSpaceDE w:val="0"/>
      <w:autoSpaceDN w:val="0"/>
      <w:adjustRightInd w:val="0"/>
      <w:spacing w:after="443"/>
      <w:jc w:val="left"/>
    </w:pPr>
    <w:rPr>
      <w:rFonts w:ascii="宋体" w:hAnsi="Times New Roman" w:eastAsia="宋体" w:cs="Times New Roman"/>
      <w:kern w:val="0"/>
      <w:sz w:val="24"/>
      <w:szCs w:val="20"/>
    </w:rPr>
  </w:style>
  <w:style w:type="paragraph" w:styleId="144">
    <w:name w:val="List Paragraph"/>
    <w:basedOn w:val="1"/>
    <w:qFormat/>
    <w:uiPriority w:val="0"/>
    <w:pPr>
      <w:ind w:firstLine="420" w:firstLineChars="200"/>
    </w:pPr>
    <w:rPr>
      <w:rFonts w:ascii="Calibri" w:hAnsi="Calibri"/>
      <w:szCs w:val="22"/>
    </w:rPr>
  </w:style>
  <w:style w:type="paragraph" w:customStyle="1" w:styleId="145">
    <w:name w:val="Style61"/>
    <w:basedOn w:val="1"/>
    <w:unhideWhenUsed/>
    <w:qFormat/>
    <w:uiPriority w:val="99"/>
    <w:rPr>
      <w:rFonts w:ascii="Calibri" w:hAnsi="Calibri"/>
    </w:rPr>
  </w:style>
  <w:style w:type="paragraph" w:customStyle="1" w:styleId="146">
    <w:name w:val="Style34"/>
    <w:basedOn w:val="1"/>
    <w:unhideWhenUsed/>
    <w:qFormat/>
    <w:uiPriority w:val="99"/>
    <w:pPr>
      <w:spacing w:line="375" w:lineRule="exact"/>
    </w:pPr>
    <w:rPr>
      <w:rFonts w:ascii="Calibri" w:hAnsi="Calibri"/>
    </w:rPr>
  </w:style>
  <w:style w:type="paragraph" w:customStyle="1" w:styleId="147">
    <w:name w:val="列出段落21"/>
    <w:basedOn w:val="1"/>
    <w:qFormat/>
    <w:uiPriority w:val="0"/>
    <w:pPr>
      <w:ind w:firstLine="200" w:firstLineChars="200"/>
    </w:pPr>
    <w:rPr>
      <w:rFonts w:ascii="Calibri" w:hAnsi="Calibri"/>
      <w:szCs w:val="22"/>
    </w:rPr>
  </w:style>
  <w:style w:type="paragraph" w:customStyle="1" w:styleId="148">
    <w:name w:val="Char Char"/>
    <w:basedOn w:val="1"/>
    <w:qFormat/>
    <w:uiPriority w:val="0"/>
  </w:style>
  <w:style w:type="paragraph" w:customStyle="1" w:styleId="149">
    <w:name w:val="Style72"/>
    <w:basedOn w:val="1"/>
    <w:unhideWhenUsed/>
    <w:qFormat/>
    <w:uiPriority w:val="99"/>
    <w:rPr>
      <w:rFonts w:ascii="Calibri" w:hAnsi="Calibri"/>
    </w:rPr>
  </w:style>
  <w:style w:type="paragraph" w:customStyle="1" w:styleId="150">
    <w:name w:val="TOC 标题2"/>
    <w:basedOn w:val="7"/>
    <w:next w:val="1"/>
    <w:qFormat/>
    <w:uiPriority w:val="0"/>
    <w:pPr>
      <w:keepLines/>
      <w:spacing w:before="340" w:after="330" w:line="576" w:lineRule="auto"/>
      <w:outlineLvl w:val="9"/>
    </w:pPr>
    <w:rPr>
      <w:rFonts w:ascii="Calibri" w:hAnsi="Calibri"/>
      <w:kern w:val="44"/>
      <w:sz w:val="44"/>
      <w:szCs w:val="44"/>
    </w:rPr>
  </w:style>
  <w:style w:type="paragraph" w:customStyle="1" w:styleId="151">
    <w:name w:val="Style53"/>
    <w:basedOn w:val="1"/>
    <w:unhideWhenUsed/>
    <w:qFormat/>
    <w:uiPriority w:val="99"/>
    <w:pPr>
      <w:spacing w:line="533" w:lineRule="exact"/>
      <w:ind w:firstLine="581"/>
    </w:pPr>
    <w:rPr>
      <w:rFonts w:ascii="Calibri" w:hAnsi="Calibri"/>
    </w:rPr>
  </w:style>
  <w:style w:type="paragraph" w:customStyle="1" w:styleId="152">
    <w:name w:val="Style62"/>
    <w:basedOn w:val="1"/>
    <w:unhideWhenUsed/>
    <w:qFormat/>
    <w:uiPriority w:val="99"/>
    <w:rPr>
      <w:rFonts w:ascii="Calibri" w:hAnsi="Calibri"/>
    </w:rPr>
  </w:style>
  <w:style w:type="paragraph" w:customStyle="1" w:styleId="153">
    <w:name w:val="Char2"/>
    <w:basedOn w:val="1"/>
    <w:qFormat/>
    <w:uiPriority w:val="0"/>
    <w:pPr>
      <w:widowControl/>
      <w:spacing w:after="160" w:line="240" w:lineRule="exact"/>
      <w:jc w:val="left"/>
    </w:pPr>
    <w:rPr>
      <w:rFonts w:ascii="Calibri" w:hAnsi="Calibri"/>
    </w:rPr>
  </w:style>
  <w:style w:type="paragraph" w:customStyle="1" w:styleId="15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5">
    <w:name w:val="Char Char Char Char Char Char Char Char Char Char1"/>
    <w:basedOn w:val="1"/>
    <w:qFormat/>
    <w:uiPriority w:val="0"/>
    <w:rPr>
      <w:rFonts w:ascii="Calibri" w:hAnsi="Calibri"/>
    </w:rPr>
  </w:style>
  <w:style w:type="paragraph" w:customStyle="1" w:styleId="156">
    <w:name w:val="Style77"/>
    <w:basedOn w:val="1"/>
    <w:unhideWhenUsed/>
    <w:qFormat/>
    <w:uiPriority w:val="99"/>
    <w:rPr>
      <w:rFonts w:ascii="Calibri" w:hAnsi="Calibri"/>
    </w:rPr>
  </w:style>
  <w:style w:type="paragraph" w:customStyle="1" w:styleId="157">
    <w:name w:val="Style50"/>
    <w:basedOn w:val="1"/>
    <w:unhideWhenUsed/>
    <w:qFormat/>
    <w:uiPriority w:val="99"/>
    <w:rPr>
      <w:rFonts w:ascii="Calibri" w:hAnsi="Calibri"/>
    </w:rPr>
  </w:style>
  <w:style w:type="paragraph" w:styleId="15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9">
    <w:name w:val="_Style 31"/>
    <w:basedOn w:val="1"/>
    <w:qFormat/>
    <w:uiPriority w:val="0"/>
    <w:rPr>
      <w:rFonts w:ascii="仿宋_GB2312" w:eastAsia="仿宋_GB2312"/>
      <w:kern w:val="0"/>
      <w:szCs w:val="20"/>
    </w:rPr>
  </w:style>
  <w:style w:type="paragraph" w:customStyle="1" w:styleId="160">
    <w:name w:val="Char1 Char Char Char 字元 Char Char 字元 Char 字元 Char1 Char Char Char"/>
    <w:basedOn w:val="1"/>
    <w:qFormat/>
    <w:uiPriority w:val="0"/>
  </w:style>
  <w:style w:type="paragraph" w:customStyle="1" w:styleId="161">
    <w:name w:val="TOC 标题1"/>
    <w:basedOn w:val="7"/>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62">
    <w:name w:val="Char Char Char Char Char Char Char Char Char Char"/>
    <w:basedOn w:val="1"/>
    <w:qFormat/>
    <w:uiPriority w:val="0"/>
    <w:rPr>
      <w:rFonts w:ascii="Calibri" w:hAnsi="Calibri"/>
    </w:rPr>
  </w:style>
  <w:style w:type="paragraph" w:customStyle="1" w:styleId="163">
    <w:name w:val="修订1"/>
    <w:qFormat/>
    <w:uiPriority w:val="99"/>
    <w:rPr>
      <w:rFonts w:ascii="Times New Roman" w:hAnsi="Times New Roman" w:eastAsia="宋体" w:cs="Times New Roman"/>
      <w:kern w:val="2"/>
      <w:sz w:val="21"/>
      <w:szCs w:val="24"/>
      <w:lang w:val="en-US" w:eastAsia="zh-CN" w:bidi="ar-SA"/>
    </w:rPr>
  </w:style>
  <w:style w:type="paragraph" w:customStyle="1" w:styleId="164">
    <w:name w:val="Style73"/>
    <w:basedOn w:val="1"/>
    <w:unhideWhenUsed/>
    <w:qFormat/>
    <w:uiPriority w:val="99"/>
    <w:pPr>
      <w:spacing w:line="538" w:lineRule="exact"/>
      <w:ind w:firstLine="533"/>
    </w:pPr>
    <w:rPr>
      <w:rFonts w:ascii="Calibri" w:hAnsi="Calibri"/>
    </w:rPr>
  </w:style>
  <w:style w:type="paragraph" w:customStyle="1" w:styleId="165">
    <w:name w:val="Style76"/>
    <w:basedOn w:val="1"/>
    <w:unhideWhenUsed/>
    <w:qFormat/>
    <w:uiPriority w:val="99"/>
    <w:rPr>
      <w:rFonts w:ascii="Calibri" w:hAnsi="Calibri"/>
    </w:rPr>
  </w:style>
  <w:style w:type="paragraph" w:customStyle="1" w:styleId="166">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67">
    <w:name w:val="样式1"/>
    <w:basedOn w:val="1"/>
    <w:qFormat/>
    <w:uiPriority w:val="0"/>
    <w:pPr>
      <w:tabs>
        <w:tab w:val="right" w:leader="dot" w:pos="10142"/>
      </w:tabs>
      <w:autoSpaceDN w:val="0"/>
    </w:pPr>
    <w:rPr>
      <w:rFonts w:ascii="宋体" w:hAnsi="宋体"/>
      <w:sz w:val="28"/>
      <w:szCs w:val="20"/>
    </w:rPr>
  </w:style>
  <w:style w:type="paragraph" w:customStyle="1" w:styleId="168">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9">
    <w:name w:val="样式 标题 3 + (中文) 黑体 小四 非加粗 段前: 7.8 磅 段后: 0 磅 行距: 固定值 20 磅"/>
    <w:basedOn w:val="9"/>
    <w:qFormat/>
    <w:uiPriority w:val="0"/>
    <w:pPr>
      <w:keepNext/>
      <w:keepLines/>
      <w:widowControl w:val="0"/>
      <w:spacing w:line="400" w:lineRule="exact"/>
    </w:pPr>
    <w:rPr>
      <w:rFonts w:eastAsia="黑体" w:cs="宋体"/>
      <w:b w:val="0"/>
      <w:bCs w:val="0"/>
      <w:kern w:val="2"/>
      <w:szCs w:val="20"/>
      <w:lang w:val="en-US"/>
    </w:rPr>
  </w:style>
  <w:style w:type="paragraph" w:customStyle="1" w:styleId="170">
    <w:name w:val="标题 1 +"/>
    <w:basedOn w:val="7"/>
    <w:next w:val="1"/>
    <w:qFormat/>
    <w:uiPriority w:val="0"/>
    <w:pPr>
      <w:keepLines/>
      <w:spacing w:before="0" w:after="0" w:line="600" w:lineRule="auto"/>
      <w:jc w:val="center"/>
    </w:pPr>
    <w:rPr>
      <w:rFonts w:ascii="Times New Roman" w:hAnsi="Times New Roman" w:eastAsia="黑体"/>
      <w:kern w:val="0"/>
    </w:rPr>
  </w:style>
  <w:style w:type="paragraph" w:customStyle="1" w:styleId="17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72">
    <w:name w:val="_Style 4"/>
    <w:basedOn w:val="1"/>
    <w:qFormat/>
    <w:uiPriority w:val="34"/>
    <w:pPr>
      <w:widowControl/>
      <w:spacing w:line="120" w:lineRule="exact"/>
      <w:ind w:firstLine="420" w:firstLineChars="200"/>
      <w:jc w:val="left"/>
    </w:pPr>
    <w:rPr>
      <w:rFonts w:ascii="Calibri" w:hAnsi="Calibri"/>
      <w:sz w:val="18"/>
      <w:szCs w:val="18"/>
    </w:rPr>
  </w:style>
  <w:style w:type="paragraph" w:customStyle="1" w:styleId="173">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74">
    <w:name w:val="Style70"/>
    <w:basedOn w:val="1"/>
    <w:unhideWhenUsed/>
    <w:qFormat/>
    <w:uiPriority w:val="99"/>
    <w:pPr>
      <w:spacing w:line="549" w:lineRule="exact"/>
      <w:ind w:firstLine="686"/>
    </w:pPr>
    <w:rPr>
      <w:rFonts w:ascii="Calibri" w:hAnsi="Calibri"/>
    </w:rPr>
  </w:style>
  <w:style w:type="paragraph" w:customStyle="1" w:styleId="175">
    <w:name w:val="TOC 标题11"/>
    <w:basedOn w:val="7"/>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76">
    <w:name w:val="_Style 167"/>
    <w:basedOn w:val="7"/>
    <w:next w:val="1"/>
    <w:unhideWhenUsed/>
    <w:qFormat/>
    <w:uiPriority w:val="39"/>
    <w:pPr>
      <w:keepLines/>
      <w:widowControl/>
      <w:spacing w:after="0" w:line="259" w:lineRule="auto"/>
      <w:jc w:val="left"/>
      <w:outlineLvl w:val="9"/>
    </w:pPr>
    <w:rPr>
      <w:rFonts w:ascii="等线 Light" w:hAnsi="等线 Light" w:eastAsia="等线 Light" w:cs="Times New Roman"/>
      <w:b w:val="0"/>
      <w:bCs w:val="0"/>
      <w:color w:val="2F5496"/>
      <w:kern w:val="0"/>
    </w:rPr>
  </w:style>
  <w:style w:type="paragraph" w:customStyle="1" w:styleId="177">
    <w:name w:val="Style27"/>
    <w:basedOn w:val="1"/>
    <w:unhideWhenUsed/>
    <w:qFormat/>
    <w:uiPriority w:val="99"/>
    <w:rPr>
      <w:rFonts w:ascii="Calibri" w:hAnsi="Calibri"/>
    </w:rPr>
  </w:style>
  <w:style w:type="paragraph" w:customStyle="1" w:styleId="178">
    <w:name w:val="Style63"/>
    <w:basedOn w:val="1"/>
    <w:unhideWhenUsed/>
    <w:qFormat/>
    <w:uiPriority w:val="99"/>
    <w:pPr>
      <w:spacing w:line="564" w:lineRule="exact"/>
      <w:ind w:firstLine="682"/>
    </w:pPr>
    <w:rPr>
      <w:rFonts w:ascii="Calibri" w:hAnsi="Calibri"/>
    </w:rPr>
  </w:style>
  <w:style w:type="paragraph" w:customStyle="1" w:styleId="179">
    <w:name w:val="1 Char Char Char Char"/>
    <w:basedOn w:val="168"/>
    <w:qFormat/>
    <w:uiPriority w:val="0"/>
  </w:style>
  <w:style w:type="paragraph" w:customStyle="1" w:styleId="180">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81">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2">
    <w:name w:val="Style52"/>
    <w:basedOn w:val="1"/>
    <w:unhideWhenUsed/>
    <w:qFormat/>
    <w:uiPriority w:val="99"/>
    <w:pPr>
      <w:spacing w:line="682" w:lineRule="exact"/>
      <w:ind w:firstLine="557"/>
    </w:pPr>
    <w:rPr>
      <w:rFonts w:ascii="Calibri" w:hAnsi="Calibri"/>
    </w:rPr>
  </w:style>
  <w:style w:type="paragraph" w:customStyle="1" w:styleId="183">
    <w:name w:val="Style36"/>
    <w:basedOn w:val="1"/>
    <w:unhideWhenUsed/>
    <w:qFormat/>
    <w:uiPriority w:val="99"/>
    <w:rPr>
      <w:rFonts w:ascii="Calibri" w:hAnsi="Calibri"/>
    </w:rPr>
  </w:style>
  <w:style w:type="paragraph" w:customStyle="1" w:styleId="184">
    <w:name w:val="标题3"/>
    <w:basedOn w:val="7"/>
    <w:qFormat/>
    <w:uiPriority w:val="0"/>
    <w:pPr>
      <w:spacing w:beforeLines="50" w:afterLines="50" w:line="400" w:lineRule="exact"/>
    </w:pPr>
    <w:rPr>
      <w:rFonts w:ascii="宋体" w:hAnsi="宋体"/>
      <w:sz w:val="24"/>
    </w:rPr>
  </w:style>
  <w:style w:type="paragraph" w:customStyle="1" w:styleId="185">
    <w:name w:val="Style9"/>
    <w:basedOn w:val="1"/>
    <w:unhideWhenUsed/>
    <w:qFormat/>
    <w:uiPriority w:val="99"/>
    <w:rPr>
      <w:rFonts w:ascii="Calibri" w:hAnsi="Calibri"/>
    </w:rPr>
  </w:style>
  <w:style w:type="paragraph" w:customStyle="1" w:styleId="186">
    <w:name w:val="标题2"/>
    <w:basedOn w:val="39"/>
    <w:qFormat/>
    <w:uiPriority w:val="0"/>
    <w:pPr>
      <w:spacing w:after="240"/>
      <w:jc w:val="left"/>
    </w:pPr>
    <w:rPr>
      <w:sz w:val="30"/>
    </w:rPr>
  </w:style>
  <w:style w:type="paragraph" w:customStyle="1" w:styleId="187">
    <w:name w:val="样式3"/>
    <w:basedOn w:val="9"/>
    <w:qFormat/>
    <w:uiPriority w:val="0"/>
    <w:pPr>
      <w:jc w:val="left"/>
    </w:pPr>
    <w:rPr>
      <w:b w:val="0"/>
      <w:bCs w:val="0"/>
      <w:kern w:val="2"/>
      <w:sz w:val="28"/>
      <w:szCs w:val="28"/>
    </w:rPr>
  </w:style>
  <w:style w:type="paragraph" w:customStyle="1" w:styleId="188">
    <w:name w:val="_Style 179"/>
    <w:unhideWhenUsed/>
    <w:qFormat/>
    <w:uiPriority w:val="99"/>
    <w:rPr>
      <w:rFonts w:ascii="Times New Roman" w:hAnsi="Times New Roman" w:eastAsia="宋体" w:cs="Times New Roman"/>
      <w:kern w:val="2"/>
      <w:sz w:val="21"/>
      <w:szCs w:val="24"/>
      <w:lang w:val="en-US" w:eastAsia="zh-CN" w:bidi="ar-SA"/>
    </w:rPr>
  </w:style>
  <w:style w:type="paragraph" w:customStyle="1" w:styleId="189">
    <w:name w:val="样式 标题 2 + Times New Roman 四号 非加粗 段前: 5 磅 段后: 0 磅 行距: 固定值 20..."/>
    <w:basedOn w:val="8"/>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90">
    <w:name w:val="CM91"/>
    <w:basedOn w:val="1"/>
    <w:next w:val="1"/>
    <w:qFormat/>
    <w:uiPriority w:val="0"/>
    <w:pPr>
      <w:autoSpaceDE w:val="0"/>
      <w:autoSpaceDN w:val="0"/>
      <w:adjustRightInd w:val="0"/>
      <w:spacing w:after="160"/>
      <w:jc w:val="left"/>
    </w:pPr>
    <w:rPr>
      <w:rFonts w:ascii="宋体" w:hAnsi="Times New Roman" w:eastAsia="宋体" w:cs="Times New Roman"/>
      <w:kern w:val="0"/>
      <w:sz w:val="24"/>
      <w:szCs w:val="20"/>
    </w:rPr>
  </w:style>
  <w:style w:type="paragraph" w:customStyle="1" w:styleId="191">
    <w:name w:val="Style46"/>
    <w:basedOn w:val="1"/>
    <w:unhideWhenUsed/>
    <w:qFormat/>
    <w:uiPriority w:val="99"/>
    <w:pPr>
      <w:spacing w:line="672" w:lineRule="exact"/>
    </w:pPr>
    <w:rPr>
      <w:rFonts w:ascii="Calibri" w:hAnsi="Calibri"/>
    </w:rPr>
  </w:style>
  <w:style w:type="paragraph" w:customStyle="1" w:styleId="192">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93">
    <w:name w:val="Style28"/>
    <w:basedOn w:val="1"/>
    <w:unhideWhenUsed/>
    <w:qFormat/>
    <w:uiPriority w:val="99"/>
    <w:pPr>
      <w:spacing w:line="552" w:lineRule="exact"/>
      <w:ind w:firstLine="547"/>
    </w:pPr>
    <w:rPr>
      <w:rFonts w:ascii="Calibri" w:hAnsi="Calibri"/>
    </w:rPr>
  </w:style>
  <w:style w:type="paragraph" w:customStyle="1" w:styleId="194">
    <w:name w:val="Char"/>
    <w:basedOn w:val="1"/>
    <w:qFormat/>
    <w:uiPriority w:val="0"/>
    <w:rPr>
      <w:rFonts w:ascii="Tahoma" w:hAnsi="Tahoma" w:eastAsia="仿宋_GB2312"/>
      <w:sz w:val="24"/>
      <w:szCs w:val="20"/>
    </w:rPr>
  </w:style>
  <w:style w:type="paragraph" w:customStyle="1" w:styleId="1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6">
    <w:name w:val="Style12"/>
    <w:basedOn w:val="1"/>
    <w:unhideWhenUsed/>
    <w:qFormat/>
    <w:uiPriority w:val="99"/>
    <w:pPr>
      <w:spacing w:line="564" w:lineRule="exact"/>
      <w:ind w:hanging="115"/>
    </w:pPr>
    <w:rPr>
      <w:rFonts w:ascii="Calibri" w:hAnsi="Calibri"/>
    </w:rPr>
  </w:style>
  <w:style w:type="paragraph" w:customStyle="1" w:styleId="197">
    <w:name w:val="Style11"/>
    <w:basedOn w:val="1"/>
    <w:unhideWhenUsed/>
    <w:qFormat/>
    <w:uiPriority w:val="99"/>
    <w:pPr>
      <w:spacing w:line="559" w:lineRule="exact"/>
      <w:ind w:firstLine="590"/>
    </w:pPr>
    <w:rPr>
      <w:rFonts w:ascii="Calibri" w:hAnsi="Calibri"/>
    </w:rPr>
  </w:style>
  <w:style w:type="paragraph" w:customStyle="1" w:styleId="198">
    <w:name w:val="Style42"/>
    <w:basedOn w:val="1"/>
    <w:unhideWhenUsed/>
    <w:qFormat/>
    <w:uiPriority w:val="99"/>
    <w:pPr>
      <w:spacing w:line="542" w:lineRule="exact"/>
      <w:ind w:firstLine="547"/>
    </w:pPr>
    <w:rPr>
      <w:rFonts w:ascii="Calibri" w:hAnsi="Calibri"/>
    </w:rPr>
  </w:style>
  <w:style w:type="paragraph" w:customStyle="1" w:styleId="199">
    <w:name w:val="Style69"/>
    <w:basedOn w:val="1"/>
    <w:unhideWhenUsed/>
    <w:qFormat/>
    <w:uiPriority w:val="99"/>
    <w:pPr>
      <w:spacing w:line="557" w:lineRule="exact"/>
      <w:ind w:firstLine="1666"/>
    </w:pPr>
    <w:rPr>
      <w:rFonts w:ascii="Calibri" w:hAnsi="Calibri"/>
    </w:rPr>
  </w:style>
  <w:style w:type="paragraph" w:customStyle="1" w:styleId="200">
    <w:name w:val="Style41"/>
    <w:basedOn w:val="1"/>
    <w:unhideWhenUsed/>
    <w:qFormat/>
    <w:uiPriority w:val="99"/>
    <w:pPr>
      <w:spacing w:line="542" w:lineRule="exact"/>
      <w:ind w:firstLine="125"/>
    </w:pPr>
    <w:rPr>
      <w:rFonts w:ascii="Calibri" w:hAnsi="Calibri"/>
    </w:rPr>
  </w:style>
  <w:style w:type="paragraph" w:customStyle="1" w:styleId="201">
    <w:name w:val="Style48"/>
    <w:basedOn w:val="1"/>
    <w:unhideWhenUsed/>
    <w:qFormat/>
    <w:uiPriority w:val="99"/>
    <w:pPr>
      <w:spacing w:line="542" w:lineRule="exact"/>
      <w:jc w:val="right"/>
    </w:pPr>
    <w:rPr>
      <w:rFonts w:ascii="Calibri" w:hAnsi="Calibri"/>
    </w:rPr>
  </w:style>
  <w:style w:type="paragraph" w:customStyle="1" w:styleId="202">
    <w:name w:val="Style78"/>
    <w:basedOn w:val="1"/>
    <w:unhideWhenUsed/>
    <w:qFormat/>
    <w:uiPriority w:val="99"/>
    <w:rPr>
      <w:rFonts w:ascii="Calibri" w:hAnsi="Calibri"/>
    </w:rPr>
  </w:style>
  <w:style w:type="paragraph" w:customStyle="1" w:styleId="203">
    <w:name w:val="Style16"/>
    <w:basedOn w:val="1"/>
    <w:unhideWhenUsed/>
    <w:qFormat/>
    <w:uiPriority w:val="99"/>
    <w:pPr>
      <w:jc w:val="right"/>
    </w:pPr>
    <w:rPr>
      <w:rFonts w:ascii="Calibri" w:hAnsi="Calibri"/>
    </w:rPr>
  </w:style>
  <w:style w:type="paragraph" w:customStyle="1" w:styleId="204">
    <w:name w:val="Style8"/>
    <w:basedOn w:val="1"/>
    <w:unhideWhenUsed/>
    <w:qFormat/>
    <w:uiPriority w:val="99"/>
    <w:pPr>
      <w:spacing w:line="566" w:lineRule="exact"/>
      <w:jc w:val="center"/>
    </w:pPr>
    <w:rPr>
      <w:rFonts w:ascii="Calibri" w:hAnsi="Calibri"/>
    </w:rPr>
  </w:style>
  <w:style w:type="paragraph" w:customStyle="1" w:styleId="205">
    <w:name w:val="默认段落字体 Para Char Char Char Char Char Char Char Char Char Char Char Char Char Char Char Char Char Char Char"/>
    <w:basedOn w:val="1"/>
    <w:qFormat/>
    <w:uiPriority w:val="0"/>
  </w:style>
  <w:style w:type="paragraph" w:customStyle="1" w:styleId="206">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207">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208">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9">
    <w:name w:val="Style10"/>
    <w:basedOn w:val="1"/>
    <w:unhideWhenUsed/>
    <w:qFormat/>
    <w:uiPriority w:val="99"/>
    <w:pPr>
      <w:spacing w:line="538" w:lineRule="exact"/>
    </w:pPr>
    <w:rPr>
      <w:rFonts w:ascii="Calibri" w:hAnsi="Calibri"/>
    </w:rPr>
  </w:style>
  <w:style w:type="paragraph" w:customStyle="1" w:styleId="210">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211">
    <w:name w:val="Style71"/>
    <w:basedOn w:val="1"/>
    <w:unhideWhenUsed/>
    <w:qFormat/>
    <w:uiPriority w:val="99"/>
    <w:pPr>
      <w:spacing w:line="538" w:lineRule="exact"/>
      <w:ind w:firstLine="101"/>
    </w:pPr>
    <w:rPr>
      <w:rFonts w:ascii="Calibri" w:hAnsi="Calibri"/>
    </w:rPr>
  </w:style>
  <w:style w:type="paragraph" w:customStyle="1" w:styleId="212">
    <w:name w:val="_Style 36"/>
    <w:qFormat/>
    <w:uiPriority w:val="0"/>
    <w:rPr>
      <w:rFonts w:ascii="Times New Roman" w:hAnsi="Times New Roman" w:eastAsia="宋体" w:cs="Times New Roman"/>
      <w:kern w:val="2"/>
      <w:sz w:val="21"/>
      <w:szCs w:val="24"/>
      <w:lang w:val="en-US" w:eastAsia="zh-CN" w:bidi="ar-SA"/>
    </w:rPr>
  </w:style>
  <w:style w:type="paragraph" w:customStyle="1" w:styleId="213">
    <w:name w:val="Style64"/>
    <w:basedOn w:val="1"/>
    <w:unhideWhenUsed/>
    <w:qFormat/>
    <w:uiPriority w:val="99"/>
    <w:rPr>
      <w:rFonts w:ascii="Calibri" w:hAnsi="Calibri"/>
    </w:rPr>
  </w:style>
  <w:style w:type="paragraph" w:customStyle="1" w:styleId="214">
    <w:name w:val="Style68"/>
    <w:basedOn w:val="1"/>
    <w:unhideWhenUsed/>
    <w:qFormat/>
    <w:uiPriority w:val="99"/>
    <w:pPr>
      <w:spacing w:line="547" w:lineRule="exact"/>
    </w:pPr>
    <w:rPr>
      <w:rFonts w:ascii="Calibri" w:hAnsi="Calibri"/>
    </w:rPr>
  </w:style>
  <w:style w:type="paragraph" w:customStyle="1" w:styleId="215">
    <w:name w:val="List Paragraph1"/>
    <w:basedOn w:val="1"/>
    <w:qFormat/>
    <w:uiPriority w:val="0"/>
    <w:pPr>
      <w:ind w:firstLine="420" w:firstLineChars="200"/>
    </w:pPr>
    <w:rPr>
      <w:rFonts w:ascii="Calibri" w:hAnsi="Calibri"/>
      <w:szCs w:val="22"/>
    </w:rPr>
  </w:style>
  <w:style w:type="paragraph" w:customStyle="1" w:styleId="216">
    <w:name w:val="Style29"/>
    <w:basedOn w:val="1"/>
    <w:unhideWhenUsed/>
    <w:qFormat/>
    <w:uiPriority w:val="99"/>
    <w:pPr>
      <w:spacing w:line="547" w:lineRule="exact"/>
      <w:ind w:firstLine="547"/>
    </w:pPr>
    <w:rPr>
      <w:rFonts w:ascii="Calibri" w:hAnsi="Calibri"/>
    </w:rPr>
  </w:style>
  <w:style w:type="paragraph" w:customStyle="1" w:styleId="217">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18">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9">
    <w:name w:val="Style21"/>
    <w:basedOn w:val="1"/>
    <w:unhideWhenUsed/>
    <w:qFormat/>
    <w:uiPriority w:val="99"/>
    <w:pPr>
      <w:spacing w:line="566" w:lineRule="exact"/>
      <w:ind w:firstLine="682"/>
    </w:pPr>
    <w:rPr>
      <w:rFonts w:ascii="Calibri" w:hAnsi="Calibri"/>
    </w:rPr>
  </w:style>
  <w:style w:type="paragraph" w:customStyle="1" w:styleId="220">
    <w:name w:val="Style15"/>
    <w:basedOn w:val="1"/>
    <w:unhideWhenUsed/>
    <w:qFormat/>
    <w:uiPriority w:val="99"/>
    <w:pPr>
      <w:spacing w:line="557" w:lineRule="exact"/>
      <w:ind w:firstLine="672"/>
    </w:pPr>
    <w:rPr>
      <w:rFonts w:ascii="Calibri" w:hAnsi="Calibri"/>
    </w:rPr>
  </w:style>
  <w:style w:type="paragraph" w:customStyle="1" w:styleId="221">
    <w:name w:val="Style45"/>
    <w:basedOn w:val="1"/>
    <w:unhideWhenUsed/>
    <w:qFormat/>
    <w:uiPriority w:val="99"/>
    <w:rPr>
      <w:rFonts w:ascii="Calibri" w:hAnsi="Calibri"/>
    </w:rPr>
  </w:style>
  <w:style w:type="paragraph" w:customStyle="1" w:styleId="222">
    <w:name w:val="修订21"/>
    <w:qFormat/>
    <w:uiPriority w:val="0"/>
    <w:rPr>
      <w:rFonts w:ascii="Times New Roman" w:hAnsi="Times New Roman" w:eastAsia="宋体" w:cs="Times New Roman"/>
      <w:kern w:val="2"/>
      <w:sz w:val="21"/>
      <w:szCs w:val="24"/>
      <w:lang w:val="en-US" w:eastAsia="zh-CN" w:bidi="ar-SA"/>
    </w:rPr>
  </w:style>
  <w:style w:type="paragraph" w:customStyle="1" w:styleId="223">
    <w:name w:val="Style24"/>
    <w:basedOn w:val="1"/>
    <w:unhideWhenUsed/>
    <w:qFormat/>
    <w:uiPriority w:val="99"/>
    <w:rPr>
      <w:rFonts w:ascii="Calibri" w:hAnsi="Calibri"/>
    </w:rPr>
  </w:style>
  <w:style w:type="paragraph" w:customStyle="1" w:styleId="224">
    <w:name w:val="列出段落2"/>
    <w:basedOn w:val="1"/>
    <w:qFormat/>
    <w:uiPriority w:val="0"/>
    <w:pPr>
      <w:ind w:firstLine="200" w:firstLineChars="200"/>
    </w:pPr>
    <w:rPr>
      <w:rFonts w:ascii="Calibri" w:hAnsi="Calibri"/>
      <w:szCs w:val="22"/>
    </w:rPr>
  </w:style>
  <w:style w:type="paragraph" w:customStyle="1" w:styleId="225">
    <w:name w:val="Style13"/>
    <w:basedOn w:val="1"/>
    <w:unhideWhenUsed/>
    <w:qFormat/>
    <w:uiPriority w:val="99"/>
    <w:rPr>
      <w:rFonts w:ascii="Calibri" w:hAnsi="Calibri"/>
    </w:rPr>
  </w:style>
  <w:style w:type="paragraph" w:customStyle="1" w:styleId="226">
    <w:name w:val="Style44"/>
    <w:basedOn w:val="1"/>
    <w:unhideWhenUsed/>
    <w:qFormat/>
    <w:uiPriority w:val="99"/>
    <w:rPr>
      <w:rFonts w:ascii="Calibri" w:hAnsi="Calibri"/>
    </w:rPr>
  </w:style>
  <w:style w:type="paragraph" w:customStyle="1" w:styleId="227">
    <w:name w:val="Style4"/>
    <w:basedOn w:val="1"/>
    <w:unhideWhenUsed/>
    <w:qFormat/>
    <w:uiPriority w:val="99"/>
    <w:rPr>
      <w:rFonts w:ascii="Calibri" w:hAnsi="Calibri"/>
    </w:rPr>
  </w:style>
  <w:style w:type="paragraph" w:customStyle="1" w:styleId="228">
    <w:name w:val="_Style 39"/>
    <w:basedOn w:val="168"/>
    <w:qFormat/>
    <w:uiPriority w:val="0"/>
  </w:style>
  <w:style w:type="paragraph" w:customStyle="1" w:styleId="229">
    <w:name w:val="Default"/>
    <w:qFormat/>
    <w:uiPriority w:val="0"/>
    <w:pPr>
      <w:widowControl w:val="0"/>
      <w:autoSpaceDE w:val="0"/>
      <w:autoSpaceDN w:val="0"/>
      <w:adjustRightInd w:val="0"/>
    </w:pPr>
    <w:rPr>
      <w:rFonts w:ascii="方正书宋_GBK" w:hAnsi="Times New Roman" w:eastAsia="方正书宋_GBK" w:cs="方正书宋_GBK"/>
      <w:color w:val="000000"/>
      <w:sz w:val="24"/>
      <w:szCs w:val="24"/>
      <w:lang w:val="en-US" w:eastAsia="zh-CN" w:bidi="ar-SA"/>
    </w:rPr>
  </w:style>
  <w:style w:type="paragraph" w:customStyle="1" w:styleId="230">
    <w:name w:val="Table Text"/>
    <w:basedOn w:val="1"/>
    <w:semiHidden/>
    <w:qFormat/>
    <w:uiPriority w:val="0"/>
    <w:rPr>
      <w:rFonts w:ascii="宋体" w:hAnsi="宋体" w:eastAsia="宋体" w:cs="宋体"/>
      <w:sz w:val="20"/>
      <w:szCs w:val="20"/>
      <w:lang w:val="en-US" w:eastAsia="en-US" w:bidi="ar-SA"/>
    </w:rPr>
  </w:style>
  <w:style w:type="paragraph" w:customStyle="1" w:styleId="231">
    <w:name w:val="WPSOffice手动目录 1"/>
    <w:qFormat/>
    <w:uiPriority w:val="0"/>
    <w:pPr>
      <w:ind w:leftChars="0"/>
    </w:pPr>
    <w:rPr>
      <w:rFonts w:ascii="Times New Roman" w:hAnsi="Times New Roman" w:eastAsia="宋体" w:cs="Times New Roman"/>
      <w:sz w:val="20"/>
      <w:szCs w:val="20"/>
    </w:rPr>
  </w:style>
  <w:style w:type="paragraph" w:customStyle="1" w:styleId="232">
    <w:name w:val="WPSOffice手动目录 2"/>
    <w:qFormat/>
    <w:uiPriority w:val="0"/>
    <w:pPr>
      <w:ind w:leftChars="200"/>
    </w:pPr>
    <w:rPr>
      <w:rFonts w:ascii="Times New Roman" w:hAnsi="Times New Roman" w:eastAsia="宋体" w:cs="Times New Roman"/>
      <w:sz w:val="20"/>
      <w:szCs w:val="20"/>
    </w:rPr>
  </w:style>
  <w:style w:type="table" w:customStyle="1" w:styleId="233">
    <w:name w:val="Table Normal"/>
    <w:semiHidden/>
    <w:unhideWhenUsed/>
    <w:qFormat/>
    <w:uiPriority w:val="0"/>
    <w:tblPr>
      <w:tblCellMar>
        <w:top w:w="0" w:type="dxa"/>
        <w:left w:w="0" w:type="dxa"/>
        <w:bottom w:w="0" w:type="dxa"/>
        <w:right w:w="0" w:type="dxa"/>
      </w:tblCellMar>
    </w:tblPr>
  </w:style>
  <w:style w:type="character" w:customStyle="1" w:styleId="234">
    <w:name w:val="cur1"/>
    <w:basedOn w:val="44"/>
    <w:qFormat/>
    <w:uiPriority w:val="0"/>
    <w:rPr>
      <w:color w:val="FF9C0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122</Pages>
  <Words>11549</Words>
  <Characters>12417</Characters>
  <Lines>776</Lines>
  <Paragraphs>218</Paragraphs>
  <TotalTime>33</TotalTime>
  <ScaleCrop>false</ScaleCrop>
  <LinksUpToDate>false</LinksUpToDate>
  <CharactersWithSpaces>13193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2021-08-16T10:42:00Z</dcterms:created>
  <dc:creator>User</dc:creator>
  <cp:lastModifiedBy>安东小唐</cp:lastModifiedBy>
  <cp:lastPrinted>2025-01-16T03:11:00Z</cp:lastPrinted>
  <dcterms:modified xsi:type="dcterms:W3CDTF">2025-01-20T08:57:00Z</dcterms:modified>
  <dc:title>第二章  投标人须知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59A7598900A34BF1894CA1131A913F84_13</vt:lpwstr>
  </property>
  <property fmtid="{D5CDD505-2E9C-101B-9397-08002B2CF9AE}" pid="4" name="KSOTemplateDocerSaveRecord">
    <vt:lpwstr>eyJoZGlkIjoiNDZmZjM1ZGNkZTQ1ZmEzMjQwYzZiMGEzYjYwNDYyNWMiLCJ1c2VySWQiOiI5Mzg1ODY5NjIifQ==</vt:lpwstr>
  </property>
</Properties>
</file>