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eastAsia="宋体" w:cs="Times New Roman"/>
          <w:b/>
          <w:bCs/>
          <w:sz w:val="36"/>
          <w:szCs w:val="36"/>
          <w:lang w:val="en-US" w:eastAsia="zh-Hans"/>
        </w:rPr>
      </w:pPr>
    </w:p>
    <w:p>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eastAsia="宋体" w:cs="Times New Roman"/>
          <w:b/>
          <w:bCs/>
          <w:sz w:val="36"/>
          <w:szCs w:val="36"/>
          <w:lang w:val="en-US" w:eastAsia="zh-Hans"/>
        </w:rPr>
      </w:pPr>
    </w:p>
    <w:p>
      <w:pPr>
        <w:keepNext w:val="0"/>
        <w:keepLines w:val="0"/>
        <w:pageBreakBefore w:val="0"/>
        <w:kinsoku/>
        <w:wordWrap/>
        <w:overflowPunct/>
        <w:topLinePunct w:val="0"/>
        <w:autoSpaceDE/>
        <w:autoSpaceDN/>
        <w:bidi w:val="0"/>
        <w:adjustRightInd/>
        <w:snapToGrid/>
        <w:jc w:val="center"/>
        <w:textAlignment w:val="auto"/>
        <w:rPr>
          <w:rFonts w:hint="eastAsia" w:ascii="Times New Roman" w:hAnsi="Times New Roman" w:eastAsia="宋体" w:cs="Times New Roman"/>
          <w:b/>
          <w:bCs/>
          <w:sz w:val="36"/>
          <w:szCs w:val="36"/>
          <w:lang w:val="en-US" w:eastAsia="zh-Hans"/>
        </w:rPr>
      </w:pPr>
    </w:p>
    <w:p>
      <w:pPr>
        <w:pStyle w:val="2"/>
        <w:rPr>
          <w:rFonts w:hint="eastAsia"/>
          <w:lang w:val="en-US" w:eastAsia="zh-Hans"/>
        </w:rPr>
      </w:pPr>
    </w:p>
    <w:p>
      <w:pPr>
        <w:jc w:val="center"/>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江环评字</w:t>
      </w:r>
      <w:r>
        <w:rPr>
          <w:rFonts w:hint="eastAsia" w:ascii="仿宋_GB2312" w:hAnsi="仿宋_GB2312" w:eastAsia="仿宋_GB2312" w:cs="仿宋_GB2312"/>
          <w:b w:val="0"/>
          <w:bCs/>
          <w:color w:val="auto"/>
          <w:sz w:val="32"/>
          <w:szCs w:val="32"/>
        </w:rPr>
        <w:t>〔</w:t>
      </w:r>
      <w:r>
        <w:rPr>
          <w:rFonts w:hint="eastAsia" w:ascii="仿宋" w:hAnsi="仿宋" w:eastAsia="仿宋" w:cs="仿宋"/>
          <w:b w:val="0"/>
          <w:bCs/>
          <w:color w:val="auto"/>
          <w:sz w:val="32"/>
          <w:szCs w:val="32"/>
        </w:rPr>
        <w:t>20</w:t>
      </w:r>
      <w:r>
        <w:rPr>
          <w:rFonts w:hint="eastAsia" w:ascii="仿宋" w:hAnsi="仿宋" w:eastAsia="仿宋" w:cs="仿宋"/>
          <w:b w:val="0"/>
          <w:bCs/>
          <w:color w:val="auto"/>
          <w:sz w:val="32"/>
          <w:szCs w:val="32"/>
          <w:lang w:val="en-US" w:eastAsia="zh-CN"/>
        </w:rPr>
        <w:t>23</w:t>
      </w:r>
      <w:r>
        <w:rPr>
          <w:rFonts w:hint="eastAsia" w:ascii="仿宋_GB2312" w:hAnsi="仿宋_GB2312" w:eastAsia="仿宋_GB2312" w:cs="仿宋_GB2312"/>
          <w:b w:val="0"/>
          <w:bCs/>
          <w:color w:val="auto"/>
          <w:sz w:val="32"/>
          <w:szCs w:val="32"/>
          <w:lang w:val="en-US" w:eastAsia="zh-CN"/>
        </w:rPr>
        <w:t>〕</w:t>
      </w:r>
      <w:r>
        <w:rPr>
          <w:rFonts w:hint="eastAsia" w:ascii="仿宋" w:hAnsi="仿宋" w:eastAsia="仿宋" w:cs="仿宋"/>
          <w:b w:val="0"/>
          <w:bCs/>
          <w:color w:val="auto"/>
          <w:sz w:val="32"/>
          <w:szCs w:val="32"/>
          <w:lang w:val="en-US" w:eastAsia="zh-CN"/>
        </w:rPr>
        <w:t>12</w:t>
      </w:r>
      <w:r>
        <w:rPr>
          <w:rFonts w:hint="eastAsia" w:ascii="仿宋" w:hAnsi="仿宋" w:eastAsia="仿宋" w:cs="仿宋"/>
          <w:b w:val="0"/>
          <w:bCs/>
          <w:color w:val="auto"/>
          <w:sz w:val="32"/>
          <w:szCs w:val="32"/>
        </w:rPr>
        <w:t>号</w:t>
      </w:r>
    </w:p>
    <w:p>
      <w:pPr>
        <w:pStyle w:val="4"/>
        <w:rPr>
          <w:rFonts w:hint="eastAsia"/>
          <w:sz w:val="36"/>
          <w:szCs w:val="36"/>
        </w:rPr>
      </w:pPr>
    </w:p>
    <w:p>
      <w:pPr>
        <w:keepNext w:val="0"/>
        <w:keepLines w:val="0"/>
        <w:widowControl/>
        <w:suppressLineNumbers w:val="0"/>
        <w:jc w:val="center"/>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eastAsia="zh-CN"/>
        </w:rPr>
        <w:t>关于</w:t>
      </w:r>
      <w:r>
        <w:rPr>
          <w:rFonts w:hint="eastAsia" w:ascii="黑体" w:hAnsi="黑体" w:eastAsia="黑体" w:cs="黑体"/>
          <w:b w:val="0"/>
          <w:bCs w:val="0"/>
          <w:sz w:val="44"/>
          <w:szCs w:val="44"/>
          <w:lang w:val="en-US" w:eastAsia="zh-CN"/>
        </w:rPr>
        <w:t>江华县界牌林光互补光伏发电项目</w:t>
      </w:r>
    </w:p>
    <w:p>
      <w:pPr>
        <w:keepNext w:val="0"/>
        <w:keepLines w:val="0"/>
        <w:widowControl/>
        <w:suppressLineNumbers w:val="0"/>
        <w:jc w:val="center"/>
        <w:rPr>
          <w:rFonts w:hint="eastAsia" w:ascii="黑体" w:hAnsi="黑体" w:eastAsia="黑体" w:cs="黑体"/>
          <w:b w:val="0"/>
          <w:bCs w:val="0"/>
          <w:sz w:val="44"/>
          <w:szCs w:val="44"/>
          <w:lang w:eastAsia="zh-CN"/>
        </w:rPr>
      </w:pPr>
      <w:r>
        <w:rPr>
          <w:rFonts w:hint="eastAsia" w:ascii="黑体" w:hAnsi="黑体" w:eastAsia="黑体" w:cs="黑体"/>
          <w:b w:val="0"/>
          <w:bCs w:val="0"/>
          <w:sz w:val="44"/>
          <w:szCs w:val="44"/>
          <w:lang w:eastAsia="zh-CN"/>
        </w:rPr>
        <w:t>环境影响报告表的批复</w:t>
      </w:r>
    </w:p>
    <w:p>
      <w:pPr>
        <w:pStyle w:val="2"/>
        <w:rPr>
          <w:rFonts w:hint="eastAsia"/>
        </w:rPr>
      </w:pPr>
    </w:p>
    <w:p>
      <w:pPr>
        <w:keepNext w:val="0"/>
        <w:keepLines w:val="0"/>
        <w:pageBreakBefore w:val="0"/>
        <w:widowControl/>
        <w:suppressLineNumbers w:val="0"/>
        <w:kinsoku/>
        <w:wordWrap/>
        <w:overflowPunct/>
        <w:topLinePunct w:val="0"/>
        <w:autoSpaceDE/>
        <w:autoSpaceDN/>
        <w:bidi w:val="0"/>
        <w:spacing w:line="56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江华运达丰泰新能源有限公司：</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你公司关于申请审批的报告和《界牌林光互补光伏发电项目》（报批稿）及相关附件收悉，经研究，现批复如下：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一、本项目建设地点位于永州市江华瑶族自治县</w:t>
      </w:r>
      <w:r>
        <w:rPr>
          <w:rFonts w:hint="eastAsia" w:ascii="仿宋_GB2312" w:hAnsi="仿宋_GB2312" w:eastAsia="仿宋_GB2312" w:cs="仿宋_GB2312"/>
          <w:spacing w:val="-6"/>
          <w:sz w:val="32"/>
          <w:szCs w:val="32"/>
          <w:lang w:val="en-US" w:eastAsia="zh-CN"/>
        </w:rPr>
        <w:t>界牌乡，地理坐</w:t>
      </w:r>
      <w:r>
        <w:rPr>
          <w:rFonts w:hint="eastAsia" w:ascii="仿宋_GB2312" w:hAnsi="仿宋_GB2312" w:eastAsia="仿宋_GB2312" w:cs="仿宋_GB2312"/>
          <w:sz w:val="32"/>
          <w:szCs w:val="32"/>
          <w:lang w:val="en-US" w:eastAsia="zh-CN"/>
        </w:rPr>
        <w:t>标为：</w:t>
      </w:r>
      <w:r>
        <w:rPr>
          <w:rFonts w:hint="eastAsia" w:ascii="仿宋_GB2312" w:hAnsi="仿宋_GB2312" w:eastAsia="仿宋_GB2312" w:cs="仿宋_GB2312"/>
          <w:spacing w:val="-11"/>
          <w:sz w:val="32"/>
          <w:szCs w:val="32"/>
          <w:lang w:val="en-US" w:eastAsia="zh-CN"/>
        </w:rPr>
        <w:t>东经1</w:t>
      </w:r>
      <w:r>
        <w:rPr>
          <w:rFonts w:hint="default" w:ascii="仿宋_GB2312" w:hAnsi="仿宋_GB2312" w:eastAsia="仿宋_GB2312" w:cs="仿宋_GB2312"/>
          <w:spacing w:val="-11"/>
          <w:sz w:val="32"/>
          <w:szCs w:val="32"/>
          <w:lang w:val="en-US" w:eastAsia="zh-CN"/>
        </w:rPr>
        <w:t>11°34′51.777″</w:t>
      </w:r>
      <w:r>
        <w:rPr>
          <w:rFonts w:hint="eastAsia" w:ascii="仿宋_GB2312" w:hAnsi="仿宋_GB2312" w:eastAsia="仿宋_GB2312" w:cs="仿宋_GB2312"/>
          <w:spacing w:val="-11"/>
          <w:sz w:val="32"/>
          <w:szCs w:val="32"/>
          <w:lang w:val="en-US" w:eastAsia="zh-CN"/>
        </w:rPr>
        <w:t>～</w:t>
      </w:r>
      <w:r>
        <w:rPr>
          <w:rFonts w:hint="default" w:ascii="仿宋_GB2312" w:hAnsi="仿宋_GB2312" w:eastAsia="仿宋_GB2312" w:cs="仿宋_GB2312"/>
          <w:spacing w:val="-11"/>
          <w:sz w:val="32"/>
          <w:szCs w:val="32"/>
          <w:lang w:val="en-US" w:eastAsia="zh-CN"/>
        </w:rPr>
        <w:t>111°36′40.696″</w:t>
      </w:r>
      <w:r>
        <w:rPr>
          <w:rFonts w:hint="eastAsia" w:ascii="仿宋_GB2312" w:hAnsi="仿宋_GB2312" w:eastAsia="仿宋_GB2312" w:cs="仿宋_GB2312"/>
          <w:spacing w:val="-11"/>
          <w:sz w:val="32"/>
          <w:szCs w:val="32"/>
          <w:lang w:val="en-US" w:eastAsia="zh-CN"/>
        </w:rPr>
        <w:t>，北纬</w:t>
      </w:r>
      <w:r>
        <w:rPr>
          <w:rFonts w:hint="default" w:ascii="仿宋_GB2312" w:hAnsi="仿宋_GB2312" w:eastAsia="仿宋_GB2312" w:cs="仿宋_GB2312"/>
          <w:spacing w:val="-11"/>
          <w:sz w:val="32"/>
          <w:szCs w:val="32"/>
          <w:lang w:val="en-US" w:eastAsia="zh-CN"/>
        </w:rPr>
        <w:t>25°14′1.959″</w:t>
      </w:r>
      <w:r>
        <w:rPr>
          <w:rFonts w:hint="eastAsia" w:ascii="仿宋_GB2312" w:hAnsi="仿宋_GB2312" w:eastAsia="仿宋_GB2312" w:cs="仿宋_GB2312"/>
          <w:spacing w:val="-11"/>
          <w:sz w:val="32"/>
          <w:szCs w:val="32"/>
          <w:lang w:val="en-US" w:eastAsia="zh-CN"/>
        </w:rPr>
        <w:t>～</w:t>
      </w:r>
      <w:r>
        <w:rPr>
          <w:rFonts w:hint="default" w:ascii="仿宋_GB2312" w:hAnsi="仿宋_GB2312" w:eastAsia="仿宋_GB2312" w:cs="仿宋_GB2312"/>
          <w:spacing w:val="-11"/>
          <w:sz w:val="32"/>
          <w:szCs w:val="32"/>
          <w:lang w:val="en-US" w:eastAsia="zh-CN"/>
        </w:rPr>
        <w:t>25°15′43.268″</w:t>
      </w:r>
      <w:r>
        <w:rPr>
          <w:rFonts w:hint="eastAsia" w:ascii="仿宋_GB2312" w:hAnsi="仿宋_GB2312" w:eastAsia="仿宋_GB2312" w:cs="仿宋_GB2312"/>
          <w:spacing w:val="-11"/>
          <w:sz w:val="32"/>
          <w:szCs w:val="32"/>
          <w:lang w:val="en-US" w:eastAsia="zh-CN"/>
        </w:rPr>
        <w:t>。</w:t>
      </w:r>
      <w:r>
        <w:rPr>
          <w:rFonts w:hint="eastAsia" w:ascii="仿宋_GB2312" w:hAnsi="仿宋_GB2312" w:eastAsia="仿宋_GB2312" w:cs="仿宋_GB2312"/>
          <w:sz w:val="32"/>
          <w:szCs w:val="32"/>
          <w:lang w:val="en-US" w:eastAsia="zh-CN"/>
        </w:rPr>
        <w:t>项目总投资35000万元人民币，其中环保投资422万元，占总投资1.2%。项目占地面积：</w:t>
      </w:r>
      <w:r>
        <w:rPr>
          <w:rFonts w:hint="default" w:ascii="仿宋_GB2312" w:hAnsi="仿宋_GB2312" w:eastAsia="仿宋_GB2312" w:cs="仿宋_GB2312"/>
          <w:sz w:val="32"/>
          <w:szCs w:val="32"/>
          <w:lang w:val="en-US" w:eastAsia="zh-CN"/>
        </w:rPr>
        <w:t>1272156</w:t>
      </w:r>
      <w:r>
        <w:rPr>
          <w:rFonts w:hint="eastAsia" w:ascii="仿宋_GB2312" w:hAnsi="仿宋_GB2312" w:eastAsia="仿宋_GB2312" w:cs="仿宋_GB2312"/>
          <w:sz w:val="32"/>
          <w:szCs w:val="32"/>
          <w:lang w:val="en-US" w:eastAsia="zh-CN"/>
        </w:rPr>
        <w:t>m</w:t>
      </w:r>
      <w:r>
        <w:rPr>
          <w:rFonts w:hint="eastAsia" w:ascii="仿宋_GB2312" w:hAnsi="仿宋_GB2312" w:eastAsia="仿宋_GB2312" w:cs="仿宋_GB2312"/>
          <w:sz w:val="32"/>
          <w:szCs w:val="32"/>
          <w:vertAlign w:val="superscript"/>
          <w:lang w:val="en-US" w:eastAsia="zh-CN"/>
        </w:rPr>
        <w:t>2</w:t>
      </w:r>
      <w:r>
        <w:rPr>
          <w:rFonts w:hint="eastAsia" w:ascii="仿宋_GB2312" w:hAnsi="仿宋_GB2312" w:eastAsia="仿宋_GB2312" w:cs="仿宋_GB2312"/>
          <w:sz w:val="32"/>
          <w:szCs w:val="32"/>
          <w:lang w:val="en-US" w:eastAsia="zh-CN"/>
        </w:rPr>
        <w:t>（具体建设地点以规划用地红线图为准）。本项目光伏建设总容量为</w:t>
      </w:r>
      <w:r>
        <w:rPr>
          <w:rFonts w:hint="default" w:ascii="仿宋_GB2312" w:hAnsi="仿宋_GB2312" w:eastAsia="仿宋_GB2312" w:cs="仿宋_GB2312"/>
          <w:sz w:val="32"/>
          <w:szCs w:val="32"/>
          <w:lang w:val="en-US" w:eastAsia="zh-CN"/>
        </w:rPr>
        <w:t>70MW</w:t>
      </w:r>
      <w:r>
        <w:rPr>
          <w:rFonts w:hint="eastAsia" w:ascii="仿宋_GB2312" w:hAnsi="仿宋_GB2312" w:eastAsia="仿宋_GB2312" w:cs="仿宋_GB2312"/>
          <w:sz w:val="32"/>
          <w:szCs w:val="32"/>
          <w:lang w:val="en-US" w:eastAsia="zh-CN"/>
        </w:rPr>
        <w:t>，直流容量</w:t>
      </w:r>
      <w:r>
        <w:rPr>
          <w:rFonts w:hint="default" w:ascii="仿宋_GB2312" w:hAnsi="仿宋_GB2312" w:eastAsia="仿宋_GB2312" w:cs="仿宋_GB2312"/>
          <w:sz w:val="32"/>
          <w:szCs w:val="32"/>
          <w:lang w:val="en-US" w:eastAsia="zh-CN"/>
        </w:rPr>
        <w:t>86.49368MWp</w:t>
      </w:r>
      <w:r>
        <w:rPr>
          <w:rFonts w:hint="eastAsia" w:ascii="仿宋_GB2312" w:hAnsi="仿宋_GB2312" w:eastAsia="仿宋_GB2312" w:cs="仿宋_GB2312"/>
          <w:sz w:val="32"/>
          <w:szCs w:val="32"/>
          <w:lang w:val="en-US" w:eastAsia="zh-CN"/>
        </w:rPr>
        <w:t>，光伏场区共布置</w:t>
      </w:r>
      <w:r>
        <w:rPr>
          <w:rFonts w:hint="default"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val="en-US" w:eastAsia="zh-CN"/>
        </w:rPr>
        <w:t>个光伏发电单元，其中</w:t>
      </w:r>
      <w:r>
        <w:rPr>
          <w:rFonts w:hint="default" w:ascii="仿宋_GB2312" w:hAnsi="仿宋_GB2312" w:eastAsia="仿宋_GB2312" w:cs="仿宋_GB2312"/>
          <w:sz w:val="32"/>
          <w:szCs w:val="32"/>
          <w:lang w:val="en-US" w:eastAsia="zh-CN"/>
        </w:rPr>
        <w:t>3200kVA</w:t>
      </w:r>
      <w:r>
        <w:rPr>
          <w:rFonts w:hint="eastAsia" w:ascii="仿宋_GB2312" w:hAnsi="仿宋_GB2312" w:eastAsia="仿宋_GB2312" w:cs="仿宋_GB2312"/>
          <w:sz w:val="32"/>
          <w:szCs w:val="32"/>
          <w:lang w:val="en-US" w:eastAsia="zh-CN"/>
        </w:rPr>
        <w:t>逆变升压单元</w:t>
      </w:r>
      <w:r>
        <w:rPr>
          <w:rFonts w:hint="default"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lang w:val="en-US" w:eastAsia="zh-CN"/>
        </w:rPr>
        <w:t>套，</w:t>
      </w:r>
      <w:r>
        <w:rPr>
          <w:rFonts w:hint="default" w:ascii="仿宋_GB2312" w:hAnsi="仿宋_GB2312" w:eastAsia="仿宋_GB2312" w:cs="仿宋_GB2312"/>
          <w:sz w:val="32"/>
          <w:szCs w:val="32"/>
          <w:lang w:val="en-US" w:eastAsia="zh-CN"/>
        </w:rPr>
        <w:t>3000kVA</w:t>
      </w:r>
      <w:r>
        <w:rPr>
          <w:rFonts w:hint="eastAsia" w:ascii="仿宋_GB2312" w:hAnsi="仿宋_GB2312" w:eastAsia="仿宋_GB2312" w:cs="仿宋_GB2312"/>
          <w:sz w:val="32"/>
          <w:szCs w:val="32"/>
          <w:lang w:val="en-US" w:eastAsia="zh-CN"/>
        </w:rPr>
        <w:t>逆变升压单元</w:t>
      </w: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套。</w:t>
      </w:r>
      <w:r>
        <w:rPr>
          <w:rFonts w:hint="default" w:ascii="仿宋_GB2312" w:hAnsi="仿宋_GB2312" w:eastAsia="仿宋_GB2312" w:cs="仿宋_GB2312"/>
          <w:sz w:val="32"/>
          <w:szCs w:val="32"/>
          <w:lang w:val="en-US" w:eastAsia="zh-CN"/>
        </w:rPr>
        <w:t>3200kVA</w:t>
      </w:r>
      <w:r>
        <w:rPr>
          <w:rFonts w:hint="eastAsia" w:ascii="仿宋_GB2312" w:hAnsi="仿宋_GB2312" w:eastAsia="仿宋_GB2312" w:cs="仿宋_GB2312"/>
          <w:sz w:val="32"/>
          <w:szCs w:val="32"/>
          <w:lang w:val="en-US" w:eastAsia="zh-CN"/>
        </w:rPr>
        <w:t>升压单元由</w:t>
      </w:r>
      <w:r>
        <w:rPr>
          <w:rFonts w:hint="default"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eastAsia="zh-CN"/>
        </w:rPr>
        <w:t>台</w:t>
      </w:r>
      <w:r>
        <w:rPr>
          <w:rFonts w:hint="default" w:ascii="仿宋_GB2312" w:hAnsi="仿宋_GB2312" w:eastAsia="仿宋_GB2312" w:cs="仿宋_GB2312"/>
          <w:sz w:val="32"/>
          <w:szCs w:val="32"/>
          <w:lang w:val="en-US" w:eastAsia="zh-CN"/>
        </w:rPr>
        <w:t>320kW</w:t>
      </w:r>
      <w:r>
        <w:rPr>
          <w:rFonts w:hint="eastAsia" w:ascii="仿宋_GB2312" w:hAnsi="仿宋_GB2312" w:eastAsia="仿宋_GB2312" w:cs="仿宋_GB2312"/>
          <w:sz w:val="32"/>
          <w:szCs w:val="32"/>
          <w:lang w:val="en-US" w:eastAsia="zh-CN"/>
        </w:rPr>
        <w:t>组串式逆变器组成，</w:t>
      </w:r>
      <w:r>
        <w:rPr>
          <w:rFonts w:hint="default" w:ascii="仿宋_GB2312" w:hAnsi="仿宋_GB2312" w:eastAsia="仿宋_GB2312" w:cs="仿宋_GB2312"/>
          <w:sz w:val="32"/>
          <w:szCs w:val="32"/>
          <w:lang w:val="en-US" w:eastAsia="zh-CN"/>
        </w:rPr>
        <w:t>3000kVA</w:t>
      </w:r>
      <w:r>
        <w:rPr>
          <w:rFonts w:hint="eastAsia" w:ascii="仿宋_GB2312" w:hAnsi="仿宋_GB2312" w:eastAsia="仿宋_GB2312" w:cs="仿宋_GB2312"/>
          <w:sz w:val="32"/>
          <w:szCs w:val="32"/>
          <w:lang w:val="en-US" w:eastAsia="zh-CN"/>
        </w:rPr>
        <w:t>升压单元由</w:t>
      </w:r>
      <w:r>
        <w:rPr>
          <w:rFonts w:hint="default"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val="en-US" w:eastAsia="zh-CN"/>
        </w:rPr>
        <w:t>台</w:t>
      </w:r>
      <w:r>
        <w:rPr>
          <w:rFonts w:hint="default" w:ascii="仿宋_GB2312" w:hAnsi="仿宋_GB2312" w:eastAsia="仿宋_GB2312" w:cs="仿宋_GB2312"/>
          <w:sz w:val="32"/>
          <w:szCs w:val="32"/>
          <w:lang w:val="en-US" w:eastAsia="zh-CN"/>
        </w:rPr>
        <w:t>320kW</w:t>
      </w:r>
      <w:r>
        <w:rPr>
          <w:rFonts w:hint="eastAsia" w:ascii="仿宋_GB2312" w:hAnsi="仿宋_GB2312" w:eastAsia="仿宋_GB2312" w:cs="仿宋_GB2312"/>
          <w:sz w:val="32"/>
          <w:szCs w:val="32"/>
          <w:lang w:val="en-US" w:eastAsia="zh-CN"/>
        </w:rPr>
        <w:t>组串式逆变器组成。通过</w:t>
      </w: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回</w:t>
      </w:r>
      <w:r>
        <w:rPr>
          <w:rFonts w:hint="default" w:ascii="仿宋_GB2312" w:hAnsi="仿宋_GB2312" w:eastAsia="仿宋_GB2312" w:cs="仿宋_GB2312"/>
          <w:sz w:val="32"/>
          <w:szCs w:val="32"/>
          <w:lang w:val="en-US" w:eastAsia="zh-CN"/>
        </w:rPr>
        <w:t>35kV</w:t>
      </w:r>
      <w:r>
        <w:rPr>
          <w:rFonts w:hint="eastAsia" w:ascii="仿宋_GB2312" w:hAnsi="仿宋_GB2312" w:eastAsia="仿宋_GB2312" w:cs="仿宋_GB2312"/>
          <w:sz w:val="32"/>
          <w:szCs w:val="32"/>
          <w:lang w:val="en-US" w:eastAsia="zh-CN"/>
        </w:rPr>
        <w:t>电缆线路接入江华县河路口镇农光互补光伏项目</w:t>
      </w:r>
      <w:r>
        <w:rPr>
          <w:rFonts w:hint="default" w:ascii="仿宋_GB2312" w:hAnsi="仿宋_GB2312" w:eastAsia="仿宋_GB2312" w:cs="仿宋_GB2312"/>
          <w:sz w:val="32"/>
          <w:szCs w:val="32"/>
          <w:lang w:val="en-US" w:eastAsia="zh-CN"/>
        </w:rPr>
        <w:t>220kV</w:t>
      </w:r>
      <w:r>
        <w:rPr>
          <w:rFonts w:hint="eastAsia" w:ascii="仿宋_GB2312" w:hAnsi="仿宋_GB2312" w:eastAsia="仿宋_GB2312" w:cs="仿宋_GB2312"/>
          <w:sz w:val="32"/>
          <w:szCs w:val="32"/>
          <w:lang w:val="en-US" w:eastAsia="zh-CN"/>
        </w:rPr>
        <w:t>升压变电站。项目建设符合国家产业政策发展规划。根据环评报告表的分析结论，在建设单位严格落实环评报告表和本批复提出的各项环保要求和环境影响减缓措施、确保污染物达标排放的前提下，依据《中华人民共和国环境影响评价法》第二十二条等规定，从环保角度分析，我局同意项目建设。本批复及有关附件是该项目环保审批的法律文件。自批复之日起超过5年方开工建设的，或改变项目性质、规模、地点、工艺、环境保护措施，必须依法重新报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二、建设单位在项目设计、建设和运行期间，必须严格执行环保“三同时”制度，落实报告表提出的污染防治和生态保护要求，并着重做好以下工作：</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（一）废水污染防治。按“雨污分流、清污分流、污污分流”原则设计、建设、完善厂区给排水系统。施工期建设施工废水经隔油沉淀池沉淀处理后回用于洒水抑尘，不外排</w:t>
      </w:r>
      <w:bookmarkStart w:id="0" w:name="_GoBack"/>
      <w:bookmarkEnd w:id="0"/>
      <w:r>
        <w:rPr>
          <w:rFonts w:hint="eastAsia" w:ascii="仿宋_GB2312" w:hAnsi="仿宋_GB2312" w:eastAsia="仿宋_GB2312" w:cs="仿宋_GB2312"/>
          <w:sz w:val="32"/>
          <w:szCs w:val="32"/>
          <w:lang w:val="en-US" w:eastAsia="zh-CN"/>
        </w:rPr>
        <w:t>；运营期光伏板清扫废水散排至光伏板底用于场区绿化，不外排。生活污水依托江华县河路口镇农光互补光伏项目升压站</w:t>
      </w:r>
      <w:r>
        <w:rPr>
          <w:rFonts w:hint="eastAsia" w:ascii="仿宋_GB2312" w:hAnsi="仿宋_GB2312" w:eastAsia="仿宋_GB2312" w:cs="仿宋_GB2312"/>
          <w:spacing w:val="-6"/>
          <w:sz w:val="32"/>
          <w:szCs w:val="32"/>
          <w:lang w:val="en-US" w:eastAsia="zh-CN"/>
        </w:rPr>
        <w:t>化粪池及一体化污水处理设施处理后回用于站区绿化，不外排。</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（二）废气污染防治。加强施工管理，采取设置工地围挡、裸露土地和物料堆放覆盖毡布、土方开挖湿法作业、路面硬化、出入车辆清洗、渣土车辆密闭运输“六个 </w:t>
      </w:r>
      <w:r>
        <w:rPr>
          <w:rFonts w:hint="default"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en-US" w:eastAsia="zh-CN"/>
        </w:rPr>
        <w:t>”等措施降低施工扬尘。</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（三）噪声污染防治。优化设备选型，合理布置高噪声设备并确保厂界噪声达到《工业企业厂界环境噪声排放标准》（GB12348-2008)2类标准。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（四）按照分类收集和综合利用的原则，妥善处理处置各类固体废物，防止造成二次污染。废光伏板、废光伏组件等一般固体废物由厂家回收利用；废变压器油、废含油抹布、 手套等危险废物储存于危险固废暂存间，定期交具备危废处理资质的单位处理，并做好危废管理台账；项目产生的危险废物在厂内暂存应分别符合《危险废物贮存污染控制标准》</w:t>
      </w:r>
      <w:r>
        <w:rPr>
          <w:rFonts w:hint="eastAsia" w:ascii="仿宋_GB2312" w:hAnsi="仿宋_GB2312" w:eastAsia="仿宋_GB2312" w:cs="仿宋_GB2312"/>
          <w:spacing w:val="-6"/>
          <w:sz w:val="32"/>
          <w:szCs w:val="32"/>
          <w:lang w:val="en-US" w:eastAsia="zh-CN"/>
        </w:rPr>
        <w:t>（GB18597-2023）的要求；生活垃圾收集后交由环卫部门处理。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（五）光污染防护。优化布局，结合环境敏感目标，控制太阳能电池组件安装范围;加强绿化，有效隔绝直接反射，减少光污染对周围环境的影响。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（六）生态环境保护。科学规划，维护区域生态环境质</w:t>
      </w:r>
      <w:r>
        <w:rPr>
          <w:rFonts w:hint="eastAsia" w:ascii="仿宋_GB2312" w:hAnsi="仿宋_GB2312" w:eastAsia="仿宋_GB2312" w:cs="仿宋_GB2312"/>
          <w:spacing w:val="-6"/>
          <w:sz w:val="32"/>
          <w:szCs w:val="32"/>
          <w:lang w:val="en-US" w:eastAsia="zh-CN"/>
        </w:rPr>
        <w:t>量。强化生态保护和水土保持措施，防止水土流失和生态破坏。</w:t>
      </w:r>
    </w:p>
    <w:p>
      <w:pPr>
        <w:keepNext w:val="0"/>
        <w:keepLines w:val="0"/>
        <w:pageBreakBefore w:val="0"/>
        <w:widowControl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环境风险防范。落实各项风险防范措施，加强设施设备的维护和管理，变压器设置容积满足泄漏收集要求的事故油池，池底及四周池壁满足防渗要求，严格按照《突发环境事件应急管理办法》要求制定事故环境应案，储备风险救助物资并组织演练，杜绝环境风险事故发生。加强环境管理，建立健全污染防治设施运行管理台帐，设专门的环保机构及环保人员，确保各项污染防治设施的正常运行，各类污染物稳定达标排放。</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（八）维护社会稳定。加强对项目附近环境敏感点的环境保护，处理好与项目周边环境的关系，防止因环保诉求而引发矛盾，自觉维护社会稳定。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三、项目在环保申报过程中不得隐情不报，如有瞒报、谎报属违法行为，建设单位将承担由此产生的一切后果。本批复各项内容必须严格执行，建设单位如有违反，将依法追究法律责任。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我局将按照建设项目环境保护管理规定加强对该项目建设情况的监督检查和日常环境管理工作，督促落实好各项环保措施。工程在建设过程中必须严格执行环保“三同时”制度，做到环保设施与主体工程同时设计、同时施工、同时投入运行。竣工后，公司要按照国家相关法规要求自主开展环境保护竣工验收,建设的环境保护设施通过验收合格后，项目方可正式投入运行。   </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永州市生态环境局</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2023年9月22日</w:t>
      </w:r>
    </w:p>
    <w:p>
      <w:pPr>
        <w:keepNext w:val="0"/>
        <w:keepLines w:val="0"/>
        <w:pageBreakBefore w:val="0"/>
        <w:widowControl w:val="0"/>
        <w:kinsoku/>
        <w:wordWrap/>
        <w:overflowPunct/>
        <w:topLinePunct w:val="0"/>
        <w:autoSpaceDE/>
        <w:autoSpaceDN/>
        <w:bidi w:val="0"/>
        <w:adjustRightInd w:val="0"/>
        <w:snapToGrid w:val="0"/>
        <w:spacing w:line="540" w:lineRule="exact"/>
        <w:textAlignment w:val="auto"/>
        <w:rPr>
          <w:rFonts w:hint="eastAsia" w:ascii="仿宋_GB2312" w:hAnsi="仿宋_GB2312" w:eastAsia="仿宋_GB2312" w:cs="仿宋_GB2312"/>
          <w:sz w:val="32"/>
          <w:szCs w:val="32"/>
          <w:lang w:val="en-US" w:eastAsia="zh-CN"/>
        </w:rPr>
      </w:pPr>
    </w:p>
    <w:sectPr>
      <w:headerReference r:id="rId3" w:type="default"/>
      <w:footerReference r:id="rId4" w:type="default"/>
      <w:footerReference r:id="rId5" w:type="even"/>
      <w:pgSz w:w="11907" w:h="16840"/>
      <w:pgMar w:top="1440" w:right="1797" w:bottom="1440" w:left="1797"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18030">
    <w:altName w:val="微软雅黑"/>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rPr>
        <w:rStyle w:val="12"/>
      </w:rPr>
    </w:pPr>
    <w:r>
      <w:fldChar w:fldCharType="begin"/>
    </w:r>
    <w:r>
      <w:rPr>
        <w:rStyle w:val="12"/>
      </w:rPr>
      <w:instrText xml:space="preserve">PAGE  </w:instrText>
    </w:r>
    <w:r>
      <w:fldChar w:fldCharType="separate"/>
    </w:r>
    <w:r>
      <w:rPr>
        <w:rStyle w:val="12"/>
      </w:rPr>
      <w:t>1</w:t>
    </w:r>
    <w:r>
      <w:fldChar w:fldCharType="end"/>
    </w:r>
  </w:p>
  <w:p>
    <w:pPr>
      <w:pStyle w:val="7"/>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zMDAyZGIwYjRlMTI3YjEyNGMyYTE1YTM4Y2UwOWQifQ=="/>
  </w:docVars>
  <w:rsids>
    <w:rsidRoot w:val="00000000"/>
    <w:rsid w:val="0257019A"/>
    <w:rsid w:val="03E76520"/>
    <w:rsid w:val="05EE467B"/>
    <w:rsid w:val="086C7AD9"/>
    <w:rsid w:val="093E1EA3"/>
    <w:rsid w:val="1548127C"/>
    <w:rsid w:val="16F77107"/>
    <w:rsid w:val="17AE039A"/>
    <w:rsid w:val="1814085E"/>
    <w:rsid w:val="1F354619"/>
    <w:rsid w:val="26A03476"/>
    <w:rsid w:val="29784DC6"/>
    <w:rsid w:val="317B65FC"/>
    <w:rsid w:val="38701F46"/>
    <w:rsid w:val="3BFC1FFF"/>
    <w:rsid w:val="44BC61DD"/>
    <w:rsid w:val="469874CA"/>
    <w:rsid w:val="4A6C4E59"/>
    <w:rsid w:val="50F61924"/>
    <w:rsid w:val="67B75DAD"/>
    <w:rsid w:val="6F476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72"/>
      <w:szCs w:val="72"/>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line="440" w:lineRule="exact"/>
      <w:ind w:firstLine="1446" w:firstLineChars="200"/>
    </w:pPr>
    <w:rPr>
      <w:rFonts w:ascii="Times New Roman" w:hAnsi="Times New Roman" w:eastAsia="宋体"/>
      <w:sz w:val="24"/>
    </w:rPr>
  </w:style>
  <w:style w:type="paragraph" w:customStyle="1" w:styleId="3">
    <w:name w:val="xl27"/>
    <w:basedOn w:val="1"/>
    <w:qFormat/>
    <w:uiPriority w:val="0"/>
    <w:pPr>
      <w:widowControl/>
      <w:pBdr>
        <w:top w:val="single" w:color="auto" w:sz="4" w:space="0"/>
        <w:left w:val="single" w:color="auto" w:sz="8" w:space="0"/>
        <w:bottom w:val="single" w:color="auto" w:sz="4" w:space="0"/>
        <w:right w:val="single" w:color="auto" w:sz="4" w:space="0"/>
      </w:pBdr>
      <w:spacing w:before="100" w:beforeLines="0" w:beforeAutospacing="1" w:after="100" w:afterLines="0" w:afterAutospacing="1"/>
      <w:jc w:val="center"/>
    </w:pPr>
    <w:rPr>
      <w:rFonts w:ascii="新宋体-18030" w:hAnsi="新宋体-18030" w:eastAsia="新宋体-18030" w:cs="新宋体-18030"/>
      <w:kern w:val="0"/>
    </w:rPr>
  </w:style>
  <w:style w:type="paragraph" w:styleId="6">
    <w:name w:val="Normal Indent"/>
    <w:basedOn w:val="1"/>
    <w:next w:val="1"/>
    <w:qFormat/>
    <w:uiPriority w:val="0"/>
    <w:pPr>
      <w:ind w:firstLine="420"/>
    </w:pPr>
    <w:rPr>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rPr>
      <w:rFonts w:ascii="Courier New" w:hAnsi="Courier New"/>
      <w:sz w:val="20"/>
      <w:szCs w:val="20"/>
    </w:rPr>
  </w:style>
  <w:style w:type="character" w:styleId="12">
    <w:name w:val="page number"/>
    <w:basedOn w:val="11"/>
    <w:qFormat/>
    <w:uiPriority w:val="0"/>
    <w:rPr>
      <w:rFonts w:ascii="Times New Roman" w:hAnsi="Times New Roman" w:eastAsia="宋体" w:cs="Times New Roman"/>
    </w:rPr>
  </w:style>
  <w:style w:type="paragraph" w:customStyle="1" w:styleId="13">
    <w:name w:val=" Char Char Char1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1761</Words>
  <Characters>1901</Characters>
  <Lines>0</Lines>
  <Paragraphs>0</Paragraphs>
  <TotalTime>0</TotalTime>
  <ScaleCrop>false</ScaleCrop>
  <LinksUpToDate>false</LinksUpToDate>
  <CharactersWithSpaces>2041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2023-08-30T10:06:00Z</dcterms:created>
  <dc:creator>Administrator</dc:creator>
  <cp:lastModifiedBy>生命之风</cp:lastModifiedBy>
  <cp:lastPrinted>2023-09-22T10:23:43Z</cp:lastPrinted>
  <dcterms:modified xsi:type="dcterms:W3CDTF">2023-09-22T10:23:46Z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4D6C9FABCB954EF28122E25FC1DC5A7A_12</vt:lpwstr>
  </property>
</Properties>
</file>